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BF" w:rsidRDefault="007A1BBF" w:rsidP="006E2EA9">
      <w:pPr>
        <w:jc w:val="center"/>
        <w:rPr>
          <w:rFonts w:ascii="Times New Roman" w:hAnsi="Times New Roman" w:cs="Times New Roman"/>
          <w:sz w:val="24"/>
          <w:szCs w:val="24"/>
        </w:rPr>
      </w:pPr>
    </w:p>
    <w:p w:rsidR="007A1BBF" w:rsidRDefault="007A1BBF" w:rsidP="006E2EA9">
      <w:pPr>
        <w:jc w:val="center"/>
        <w:rPr>
          <w:rFonts w:ascii="Times New Roman" w:hAnsi="Times New Roman" w:cs="Times New Roman"/>
          <w:sz w:val="24"/>
          <w:szCs w:val="24"/>
        </w:rPr>
      </w:pPr>
    </w:p>
    <w:p w:rsidR="0003613C" w:rsidRPr="0003613C" w:rsidRDefault="0003613C" w:rsidP="0003613C">
      <w:pPr>
        <w:shd w:val="clear" w:color="auto" w:fill="FFFFFF"/>
        <w:spacing w:after="0" w:line="240" w:lineRule="auto"/>
        <w:rPr>
          <w:rFonts w:ascii="Arial" w:eastAsia="Times New Roman" w:hAnsi="Arial" w:cs="Arial"/>
          <w:color w:val="222222"/>
          <w:sz w:val="17"/>
          <w:szCs w:val="17"/>
          <w:lang w:eastAsia="tr-TR"/>
        </w:rPr>
      </w:pPr>
    </w:p>
    <w:tbl>
      <w:tblPr>
        <w:tblW w:w="11400" w:type="dxa"/>
        <w:jc w:val="center"/>
        <w:tblCellSpacing w:w="0" w:type="dxa"/>
        <w:tblCellMar>
          <w:left w:w="0" w:type="dxa"/>
          <w:right w:w="0" w:type="dxa"/>
        </w:tblCellMar>
        <w:tblLook w:val="04A0"/>
      </w:tblPr>
      <w:tblGrid>
        <w:gridCol w:w="11430"/>
      </w:tblGrid>
      <w:tr w:rsidR="0003613C" w:rsidRPr="0003613C" w:rsidTr="0003613C">
        <w:trPr>
          <w:tblCellSpacing w:w="0" w:type="dxa"/>
          <w:jc w:val="center"/>
        </w:trPr>
        <w:tc>
          <w:tcPr>
            <w:tcW w:w="0" w:type="auto"/>
            <w:hideMark/>
          </w:tcPr>
          <w:tbl>
            <w:tblPr>
              <w:tblW w:w="11400" w:type="dxa"/>
              <w:tblCellSpacing w:w="0" w:type="dxa"/>
              <w:tblCellMar>
                <w:left w:w="0" w:type="dxa"/>
                <w:right w:w="0" w:type="dxa"/>
              </w:tblCellMar>
              <w:tblLook w:val="04A0"/>
            </w:tblPr>
            <w:tblGrid>
              <w:gridCol w:w="11430"/>
            </w:tblGrid>
            <w:tr w:rsidR="0003613C" w:rsidRPr="0003613C">
              <w:trPr>
                <w:tblCellSpacing w:w="0" w:type="dxa"/>
              </w:trPr>
              <w:tc>
                <w:tcPr>
                  <w:tcW w:w="11400" w:type="dxa"/>
                  <w:vAlign w:val="center"/>
                  <w:hideMark/>
                </w:tcPr>
                <w:p w:rsidR="0003613C" w:rsidRPr="0003613C" w:rsidRDefault="0003613C" w:rsidP="0003613C">
                  <w:pPr>
                    <w:spacing w:after="0" w:line="240" w:lineRule="auto"/>
                    <w:rPr>
                      <w:rFonts w:ascii="Arial" w:eastAsia="Times New Roman" w:hAnsi="Arial" w:cs="Arial"/>
                      <w:sz w:val="24"/>
                      <w:szCs w:val="24"/>
                      <w:lang w:eastAsia="tr-TR"/>
                    </w:rPr>
                  </w:pPr>
                  <w:r>
                    <w:rPr>
                      <w:rFonts w:ascii="Arial" w:eastAsia="Times New Roman" w:hAnsi="Arial" w:cs="Arial"/>
                      <w:noProof/>
                      <w:sz w:val="24"/>
                      <w:szCs w:val="24"/>
                      <w:lang w:eastAsia="tr-TR"/>
                    </w:rPr>
                    <w:drawing>
                      <wp:inline distT="0" distB="0" distL="0" distR="0">
                        <wp:extent cx="7237730" cy="1337310"/>
                        <wp:effectExtent l="19050" t="0" r="1270" b="0"/>
                        <wp:docPr id="10" name="Resim 10" descr="https://ci5.googleusercontent.com/proxy/nosUv3tpjGz95btTZGQeb9kWAvd0KVsBeva6cAxIvt4QJ--ysLiIa6acqJ4dzyLWJ2Vg5WvmgbeUmINS8elozny4xHoaLyfRmC6Zvs6b=s0-d-e1-ft#http://neurosurgery.dergisi.org/submit/image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5.googleusercontent.com/proxy/nosUv3tpjGz95btTZGQeb9kWAvd0KVsBeva6cAxIvt4QJ--ysLiIa6acqJ4dzyLWJ2Vg5WvmgbeUmINS8elozny4xHoaLyfRmC6Zvs6b=s0-d-e1-ft#http://neurosurgery.dergisi.org/submit/images/header.jpg"/>
                                <pic:cNvPicPr>
                                  <a:picLocks noChangeAspect="1" noChangeArrowheads="1"/>
                                </pic:cNvPicPr>
                              </pic:nvPicPr>
                              <pic:blipFill>
                                <a:blip r:embed="rId5"/>
                                <a:srcRect/>
                                <a:stretch>
                                  <a:fillRect/>
                                </a:stretch>
                              </pic:blipFill>
                              <pic:spPr bwMode="auto">
                                <a:xfrm>
                                  <a:off x="0" y="0"/>
                                  <a:ext cx="7237730" cy="1337310"/>
                                </a:xfrm>
                                <a:prstGeom prst="rect">
                                  <a:avLst/>
                                </a:prstGeom>
                                <a:noFill/>
                                <a:ln w="9525">
                                  <a:noFill/>
                                  <a:miter lim="800000"/>
                                  <a:headEnd/>
                                  <a:tailEnd/>
                                </a:ln>
                              </pic:spPr>
                            </pic:pic>
                          </a:graphicData>
                        </a:graphic>
                      </wp:inline>
                    </w:drawing>
                  </w:r>
                </w:p>
              </w:tc>
            </w:tr>
          </w:tbl>
          <w:p w:rsidR="0003613C" w:rsidRPr="0003613C" w:rsidRDefault="0003613C" w:rsidP="0003613C">
            <w:pPr>
              <w:spacing w:before="100" w:beforeAutospacing="1" w:after="100" w:afterAutospacing="1" w:line="240" w:lineRule="auto"/>
              <w:rPr>
                <w:rFonts w:ascii="Arial" w:eastAsia="Times New Roman" w:hAnsi="Arial" w:cs="Arial"/>
                <w:sz w:val="24"/>
                <w:szCs w:val="24"/>
                <w:lang w:eastAsia="tr-TR"/>
              </w:rPr>
            </w:pPr>
            <w:r w:rsidRPr="0003613C">
              <w:rPr>
                <w:rFonts w:ascii="Arial" w:eastAsia="Times New Roman" w:hAnsi="Arial" w:cs="Arial"/>
                <w:sz w:val="24"/>
                <w:szCs w:val="24"/>
                <w:lang w:eastAsia="tr-TR"/>
              </w:rPr>
              <w:t>Dear MD. Murat Korkmaz,</w:t>
            </w:r>
            <w:r w:rsidRPr="0003613C">
              <w:rPr>
                <w:rFonts w:ascii="Arial" w:eastAsia="Times New Roman" w:hAnsi="Arial" w:cs="Arial"/>
                <w:sz w:val="24"/>
                <w:szCs w:val="24"/>
                <w:lang w:eastAsia="tr-TR"/>
              </w:rPr>
              <w:br/>
            </w:r>
            <w:r w:rsidRPr="0003613C">
              <w:rPr>
                <w:rFonts w:ascii="Arial" w:eastAsia="Times New Roman" w:hAnsi="Arial" w:cs="Arial"/>
                <w:sz w:val="24"/>
                <w:szCs w:val="24"/>
                <w:lang w:eastAsia="tr-TR"/>
              </w:rPr>
              <w:br/>
              <w:t xml:space="preserve">I am writing to advise that your manuscript entitled "ENDOSCOPIC ENDONASAL TRANSSPHENOIDAL PITUITARY SURGERY: EXPERIENCE OF 80 CASES" has been accepted for publication in an upcoming issue of Turkish Neurosurgery. We will send the proof of your article for your approval prior to publication. You can reach the final information about your manuscript at </w:t>
            </w:r>
            <w:proofErr w:type="gramStart"/>
            <w:r w:rsidRPr="0003613C">
              <w:rPr>
                <w:rFonts w:ascii="Arial" w:eastAsia="Times New Roman" w:hAnsi="Arial" w:cs="Arial"/>
                <w:sz w:val="24"/>
                <w:szCs w:val="24"/>
                <w:lang w:eastAsia="tr-TR"/>
              </w:rPr>
              <w:t>online</w:t>
            </w:r>
            <w:proofErr w:type="gramEnd"/>
            <w:r w:rsidRPr="0003613C">
              <w:rPr>
                <w:rFonts w:ascii="Arial" w:eastAsia="Times New Roman" w:hAnsi="Arial" w:cs="Arial"/>
                <w:sz w:val="24"/>
                <w:szCs w:val="24"/>
                <w:lang w:eastAsia="tr-TR"/>
              </w:rPr>
              <w:t xml:space="preserve"> manuscript center (</w:t>
            </w:r>
            <w:hyperlink r:id="rId6" w:tgtFrame="_blank" w:history="1">
              <w:r w:rsidRPr="0003613C">
                <w:rPr>
                  <w:rFonts w:ascii="Arial" w:eastAsia="Times New Roman" w:hAnsi="Arial" w:cs="Arial"/>
                  <w:color w:val="1155CC"/>
                  <w:sz w:val="24"/>
                  <w:szCs w:val="24"/>
                  <w:u w:val="single"/>
                  <w:lang w:eastAsia="tr-TR"/>
                </w:rPr>
                <w:t>http://turkishneurosurgery.org.tr/submit/</w:t>
              </w:r>
            </w:hyperlink>
            <w:r w:rsidRPr="0003613C">
              <w:rPr>
                <w:rFonts w:ascii="Arial" w:eastAsia="Times New Roman" w:hAnsi="Arial" w:cs="Arial"/>
                <w:sz w:val="24"/>
                <w:szCs w:val="24"/>
                <w:lang w:eastAsia="tr-TR"/>
              </w:rPr>
              <w:t>). Please find attached Copyright Transfer form. All authors should sign the agreement. Please return a signed copy by fax (0312 215 46 26) or mail.</w:t>
            </w:r>
            <w:r w:rsidRPr="0003613C">
              <w:rPr>
                <w:rFonts w:ascii="Arial" w:eastAsia="Times New Roman" w:hAnsi="Arial" w:cs="Arial"/>
                <w:sz w:val="24"/>
                <w:szCs w:val="24"/>
                <w:lang w:eastAsia="tr-TR"/>
              </w:rPr>
              <w:br/>
            </w:r>
            <w:r w:rsidRPr="0003613C">
              <w:rPr>
                <w:rFonts w:ascii="Arial" w:eastAsia="Times New Roman" w:hAnsi="Arial" w:cs="Arial"/>
                <w:sz w:val="24"/>
                <w:szCs w:val="24"/>
                <w:lang w:eastAsia="tr-TR"/>
              </w:rPr>
              <w:br/>
              <w:t>Please do not hesitate to contact us at any time if you have questions regarding your manuscript or the publication process sending an e-mail to </w:t>
            </w:r>
            <w:hyperlink r:id="rId7" w:tgtFrame="_blank" w:history="1">
              <w:r w:rsidRPr="0003613C">
                <w:rPr>
                  <w:rFonts w:ascii="Arial" w:eastAsia="Times New Roman" w:hAnsi="Arial" w:cs="Arial"/>
                  <w:color w:val="1155CC"/>
                  <w:sz w:val="24"/>
                  <w:szCs w:val="24"/>
                  <w:u w:val="single"/>
                  <w:lang w:eastAsia="tr-TR"/>
                </w:rPr>
                <w:t>editor@turkishneurosurgery.org.tr</w:t>
              </w:r>
            </w:hyperlink>
            <w:r w:rsidRPr="0003613C">
              <w:rPr>
                <w:rFonts w:ascii="Arial" w:eastAsia="Times New Roman" w:hAnsi="Arial" w:cs="Arial"/>
                <w:sz w:val="24"/>
                <w:szCs w:val="24"/>
                <w:lang w:eastAsia="tr-TR"/>
              </w:rPr>
              <w:br/>
              <w:t>We look forward to publishing your paper.</w:t>
            </w:r>
            <w:r w:rsidRPr="0003613C">
              <w:rPr>
                <w:rFonts w:ascii="Arial" w:eastAsia="Times New Roman" w:hAnsi="Arial" w:cs="Arial"/>
                <w:sz w:val="24"/>
                <w:szCs w:val="24"/>
                <w:lang w:eastAsia="tr-TR"/>
              </w:rPr>
              <w:br/>
            </w:r>
            <w:r w:rsidRPr="0003613C">
              <w:rPr>
                <w:rFonts w:ascii="Arial" w:eastAsia="Times New Roman" w:hAnsi="Arial" w:cs="Arial"/>
                <w:sz w:val="24"/>
                <w:szCs w:val="24"/>
                <w:lang w:eastAsia="tr-TR"/>
              </w:rPr>
              <w:br/>
              <w:t>Prof. Dr. Deniz Belen</w:t>
            </w:r>
            <w:r w:rsidRPr="0003613C">
              <w:rPr>
                <w:rFonts w:ascii="Arial" w:eastAsia="Times New Roman" w:hAnsi="Arial" w:cs="Arial"/>
                <w:sz w:val="24"/>
                <w:szCs w:val="24"/>
                <w:lang w:eastAsia="tr-TR"/>
              </w:rPr>
              <w:br/>
              <w:t>Editors in Chief </w:t>
            </w:r>
            <w:r w:rsidRPr="0003613C">
              <w:rPr>
                <w:rFonts w:ascii="Arial" w:eastAsia="Times New Roman" w:hAnsi="Arial" w:cs="Arial"/>
                <w:sz w:val="24"/>
                <w:szCs w:val="24"/>
                <w:lang w:eastAsia="tr-TR"/>
              </w:rPr>
              <w:br/>
            </w:r>
            <w:hyperlink r:id="rId8" w:tgtFrame="_blank" w:history="1">
              <w:r w:rsidRPr="0003613C">
                <w:rPr>
                  <w:rFonts w:ascii="Arial" w:eastAsia="Times New Roman" w:hAnsi="Arial" w:cs="Arial"/>
                  <w:color w:val="1155CC"/>
                  <w:sz w:val="24"/>
                  <w:szCs w:val="24"/>
                  <w:u w:val="single"/>
                  <w:lang w:eastAsia="tr-TR"/>
                </w:rPr>
                <w:t>editor@turkishneurosurgery.org.tr</w:t>
              </w:r>
            </w:hyperlink>
          </w:p>
        </w:tc>
      </w:tr>
      <w:tr w:rsidR="0003613C" w:rsidRPr="0003613C" w:rsidTr="0003613C">
        <w:trPr>
          <w:tblCellSpacing w:w="0" w:type="dxa"/>
          <w:jc w:val="center"/>
        </w:trPr>
        <w:tc>
          <w:tcPr>
            <w:tcW w:w="11400" w:type="dxa"/>
            <w:vAlign w:val="center"/>
            <w:hideMark/>
          </w:tcPr>
          <w:p w:rsidR="0003613C" w:rsidRPr="0003613C" w:rsidRDefault="0003613C" w:rsidP="0003613C">
            <w:pPr>
              <w:spacing w:after="0" w:line="240" w:lineRule="auto"/>
              <w:rPr>
                <w:rFonts w:ascii="Arial" w:eastAsia="Times New Roman" w:hAnsi="Arial" w:cs="Arial"/>
                <w:sz w:val="24"/>
                <w:szCs w:val="24"/>
                <w:lang w:eastAsia="tr-TR"/>
              </w:rPr>
            </w:pPr>
            <w:r>
              <w:rPr>
                <w:rFonts w:ascii="Arial" w:eastAsia="Times New Roman" w:hAnsi="Arial" w:cs="Arial"/>
                <w:noProof/>
                <w:sz w:val="24"/>
                <w:szCs w:val="24"/>
                <w:lang w:eastAsia="tr-TR"/>
              </w:rPr>
              <w:drawing>
                <wp:inline distT="0" distB="0" distL="0" distR="0">
                  <wp:extent cx="7237730" cy="276225"/>
                  <wp:effectExtent l="19050" t="0" r="1270" b="0"/>
                  <wp:docPr id="11" name="Resim 11" descr="https://ci3.googleusercontent.com/proxy/eNCNRc7gw3Qt4lGQpepXEMYeLP5NpVjKX0oBH1QpeWgNPjNh8etpQYKW0TgPG0LrC30JzPZA6748zi5s90qqJ8ftnc7rRJ6mdiyCurfg=s0-d-e1-ft#http://neurosurgery.dergisi.org/submit/image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3.googleusercontent.com/proxy/eNCNRc7gw3Qt4lGQpepXEMYeLP5NpVjKX0oBH1QpeWgNPjNh8etpQYKW0TgPG0LrC30JzPZA6748zi5s90qqJ8ftnc7rRJ6mdiyCurfg=s0-d-e1-ft#http://neurosurgery.dergisi.org/submit/images/footer.jpg"/>
                          <pic:cNvPicPr>
                            <a:picLocks noChangeAspect="1" noChangeArrowheads="1"/>
                          </pic:cNvPicPr>
                        </pic:nvPicPr>
                        <pic:blipFill>
                          <a:blip r:embed="rId9"/>
                          <a:srcRect/>
                          <a:stretch>
                            <a:fillRect/>
                          </a:stretch>
                        </pic:blipFill>
                        <pic:spPr bwMode="auto">
                          <a:xfrm>
                            <a:off x="0" y="0"/>
                            <a:ext cx="7237730" cy="276225"/>
                          </a:xfrm>
                          <a:prstGeom prst="rect">
                            <a:avLst/>
                          </a:prstGeom>
                          <a:noFill/>
                          <a:ln w="9525">
                            <a:noFill/>
                            <a:miter lim="800000"/>
                            <a:headEnd/>
                            <a:tailEnd/>
                          </a:ln>
                        </pic:spPr>
                      </pic:pic>
                    </a:graphicData>
                  </a:graphic>
                </wp:inline>
              </w:drawing>
            </w:r>
          </w:p>
        </w:tc>
      </w:tr>
    </w:tbl>
    <w:p w:rsidR="007A1BBF" w:rsidRDefault="007A1BBF" w:rsidP="0003613C">
      <w:pPr>
        <w:rPr>
          <w:rFonts w:ascii="Times New Roman" w:hAnsi="Times New Roman" w:cs="Times New Roman"/>
          <w:sz w:val="24"/>
          <w:szCs w:val="24"/>
        </w:rPr>
      </w:pPr>
    </w:p>
    <w:p w:rsidR="0003613C" w:rsidRDefault="0003613C" w:rsidP="0003613C">
      <w:pPr>
        <w:rPr>
          <w:rFonts w:ascii="Times New Roman" w:hAnsi="Times New Roman" w:cs="Times New Roman"/>
          <w:sz w:val="24"/>
          <w:szCs w:val="24"/>
        </w:rPr>
      </w:pPr>
    </w:p>
    <w:p w:rsidR="0003613C" w:rsidRDefault="0003613C" w:rsidP="0003613C">
      <w:pPr>
        <w:rPr>
          <w:rFonts w:ascii="Times New Roman" w:hAnsi="Times New Roman" w:cs="Times New Roman"/>
          <w:sz w:val="24"/>
          <w:szCs w:val="24"/>
        </w:rPr>
      </w:pPr>
    </w:p>
    <w:p w:rsidR="0003613C" w:rsidRDefault="0003613C" w:rsidP="0003613C">
      <w:pPr>
        <w:rPr>
          <w:rFonts w:ascii="Times New Roman" w:hAnsi="Times New Roman" w:cs="Times New Roman"/>
          <w:sz w:val="24"/>
          <w:szCs w:val="24"/>
        </w:rPr>
      </w:pPr>
    </w:p>
    <w:p w:rsidR="0003613C" w:rsidRDefault="0003613C" w:rsidP="0003613C">
      <w:pPr>
        <w:rPr>
          <w:rFonts w:ascii="Times New Roman" w:hAnsi="Times New Roman" w:cs="Times New Roman"/>
          <w:sz w:val="24"/>
          <w:szCs w:val="24"/>
        </w:rPr>
      </w:pPr>
    </w:p>
    <w:p w:rsidR="0003613C" w:rsidRPr="0003613C" w:rsidRDefault="0003613C" w:rsidP="0003613C">
      <w:pPr>
        <w:shd w:val="clear" w:color="auto" w:fill="FFFFFF"/>
        <w:spacing w:after="0" w:line="240" w:lineRule="auto"/>
        <w:ind w:left="720"/>
        <w:rPr>
          <w:rFonts w:ascii="Times New Roman" w:eastAsia="Times New Roman" w:hAnsi="Times New Roman" w:cs="Times New Roman"/>
          <w:b/>
          <w:sz w:val="24"/>
          <w:szCs w:val="24"/>
          <w:lang w:eastAsia="tr-TR"/>
        </w:rPr>
      </w:pPr>
      <w:r w:rsidRPr="0003613C">
        <w:rPr>
          <w:rFonts w:ascii="Times New Roman" w:eastAsia="Times New Roman" w:hAnsi="Times New Roman" w:cs="Times New Roman"/>
          <w:b/>
          <w:bCs/>
          <w:sz w:val="24"/>
          <w:szCs w:val="24"/>
          <w:lang w:eastAsia="tr-TR"/>
        </w:rPr>
        <w:t>DOI: </w:t>
      </w:r>
      <w:hyperlink r:id="rId10" w:history="1">
        <w:r w:rsidRPr="0003613C">
          <w:rPr>
            <w:rFonts w:ascii="Times New Roman" w:eastAsia="Times New Roman" w:hAnsi="Times New Roman" w:cs="Times New Roman"/>
            <w:b/>
            <w:bCs/>
            <w:sz w:val="24"/>
            <w:szCs w:val="24"/>
            <w:lang w:eastAsia="tr-TR"/>
          </w:rPr>
          <w:t>10.5137/1019-5149.JTN.10495-</w:t>
        </w:r>
        <w:proofErr w:type="gramStart"/>
        <w:r w:rsidRPr="0003613C">
          <w:rPr>
            <w:rFonts w:ascii="Times New Roman" w:eastAsia="Times New Roman" w:hAnsi="Times New Roman" w:cs="Times New Roman"/>
            <w:b/>
            <w:bCs/>
            <w:sz w:val="24"/>
            <w:szCs w:val="24"/>
            <w:lang w:eastAsia="tr-TR"/>
          </w:rPr>
          <w:t>14.2</w:t>
        </w:r>
        <w:proofErr w:type="gramEnd"/>
      </w:hyperlink>
    </w:p>
    <w:p w:rsidR="0003613C" w:rsidRDefault="0003613C" w:rsidP="0003613C">
      <w:pPr>
        <w:rPr>
          <w:rFonts w:ascii="Times New Roman" w:hAnsi="Times New Roman" w:cs="Times New Roman"/>
          <w:sz w:val="24"/>
          <w:szCs w:val="24"/>
        </w:rPr>
      </w:pPr>
    </w:p>
    <w:p w:rsidR="007A1BBF" w:rsidRDefault="007A1BBF" w:rsidP="006E2EA9">
      <w:pPr>
        <w:jc w:val="center"/>
        <w:rPr>
          <w:rFonts w:ascii="Times New Roman" w:hAnsi="Times New Roman" w:cs="Times New Roman"/>
          <w:sz w:val="24"/>
          <w:szCs w:val="24"/>
        </w:rPr>
      </w:pPr>
    </w:p>
    <w:p w:rsidR="007A1BBF" w:rsidRDefault="007A1BBF" w:rsidP="006E2EA9">
      <w:pPr>
        <w:jc w:val="center"/>
        <w:rPr>
          <w:rFonts w:ascii="Times New Roman" w:hAnsi="Times New Roman" w:cs="Times New Roman"/>
          <w:sz w:val="24"/>
          <w:szCs w:val="24"/>
        </w:rPr>
      </w:pPr>
    </w:p>
    <w:p w:rsidR="007A1BBF" w:rsidRDefault="007A1BBF" w:rsidP="006E2EA9">
      <w:pPr>
        <w:jc w:val="center"/>
        <w:rPr>
          <w:rFonts w:ascii="Times New Roman" w:hAnsi="Times New Roman" w:cs="Times New Roman"/>
          <w:sz w:val="24"/>
          <w:szCs w:val="24"/>
        </w:rPr>
      </w:pPr>
    </w:p>
    <w:p w:rsidR="007A1BBF" w:rsidRDefault="007A1BBF" w:rsidP="0003613C">
      <w:pPr>
        <w:rPr>
          <w:rFonts w:ascii="Times New Roman" w:hAnsi="Times New Roman" w:cs="Times New Roman"/>
          <w:sz w:val="24"/>
          <w:szCs w:val="24"/>
        </w:rPr>
      </w:pPr>
    </w:p>
    <w:p w:rsidR="007A1BBF" w:rsidRDefault="007A1BBF" w:rsidP="006E2EA9">
      <w:pPr>
        <w:jc w:val="center"/>
        <w:rPr>
          <w:rFonts w:ascii="Times New Roman" w:hAnsi="Times New Roman" w:cs="Times New Roman"/>
          <w:sz w:val="24"/>
          <w:szCs w:val="24"/>
        </w:rPr>
      </w:pPr>
    </w:p>
    <w:p w:rsidR="006E2EA9" w:rsidRPr="0003613C" w:rsidRDefault="006E2EA9" w:rsidP="006E2EA9">
      <w:pPr>
        <w:jc w:val="center"/>
        <w:rPr>
          <w:rFonts w:ascii="Times New Roman" w:hAnsi="Times New Roman" w:cs="Times New Roman"/>
          <w:b/>
          <w:sz w:val="24"/>
          <w:szCs w:val="24"/>
        </w:rPr>
      </w:pPr>
      <w:r w:rsidRPr="0003613C">
        <w:rPr>
          <w:rFonts w:ascii="Times New Roman" w:hAnsi="Times New Roman" w:cs="Times New Roman"/>
          <w:b/>
          <w:sz w:val="24"/>
          <w:szCs w:val="24"/>
        </w:rPr>
        <w:t>ENDOSCOPIC ENDONASAL TRANSSPHENOIDAL PITUITARY</w:t>
      </w:r>
    </w:p>
    <w:p w:rsidR="006E2EA9" w:rsidRPr="0003613C" w:rsidRDefault="006E2EA9" w:rsidP="006E2EA9">
      <w:pPr>
        <w:jc w:val="center"/>
        <w:rPr>
          <w:rFonts w:ascii="Times New Roman" w:hAnsi="Times New Roman" w:cs="Times New Roman"/>
          <w:b/>
          <w:sz w:val="24"/>
          <w:szCs w:val="24"/>
        </w:rPr>
      </w:pPr>
      <w:r w:rsidRPr="0003613C">
        <w:rPr>
          <w:rFonts w:ascii="Times New Roman" w:hAnsi="Times New Roman" w:cs="Times New Roman"/>
          <w:b/>
          <w:sz w:val="24"/>
          <w:szCs w:val="24"/>
        </w:rPr>
        <w:t>SURGERY: EXPERIENCE OF 80 CASES</w:t>
      </w:r>
    </w:p>
    <w:p w:rsidR="00E97C10" w:rsidRPr="00FB6AA8" w:rsidRDefault="00E97C10" w:rsidP="006E2EA9">
      <w:pPr>
        <w:jc w:val="center"/>
        <w:rPr>
          <w:rFonts w:ascii="Times New Roman" w:hAnsi="Times New Roman" w:cs="Times New Roman"/>
          <w:sz w:val="24"/>
          <w:szCs w:val="24"/>
        </w:rPr>
      </w:pPr>
    </w:p>
    <w:p w:rsidR="00E97C10" w:rsidRPr="00FB6AA8" w:rsidRDefault="00E97C10" w:rsidP="00E97C10">
      <w:pPr>
        <w:jc w:val="both"/>
        <w:rPr>
          <w:rFonts w:ascii="Times New Roman" w:hAnsi="Times New Roman" w:cs="Times New Roman"/>
          <w:sz w:val="24"/>
          <w:szCs w:val="24"/>
        </w:rPr>
      </w:pPr>
      <w:r w:rsidRPr="00FB6AA8">
        <w:rPr>
          <w:rFonts w:ascii="Times New Roman" w:hAnsi="Times New Roman" w:cs="Times New Roman"/>
          <w:sz w:val="24"/>
          <w:szCs w:val="24"/>
        </w:rPr>
        <w:t>Murat KORKMAZ</w:t>
      </w:r>
      <w:r w:rsidR="003C4E60">
        <w:rPr>
          <w:rFonts w:ascii="Times New Roman" w:hAnsi="Times New Roman" w:cs="Times New Roman"/>
          <w:sz w:val="24"/>
          <w:szCs w:val="24"/>
        </w:rPr>
        <w:t>, MD</w:t>
      </w:r>
      <w:r w:rsidRPr="00FB6AA8">
        <w:rPr>
          <w:rFonts w:ascii="Times New Roman" w:hAnsi="Times New Roman" w:cs="Times New Roman"/>
          <w:sz w:val="24"/>
          <w:szCs w:val="24"/>
          <w:vertAlign w:val="superscript"/>
        </w:rPr>
        <w:t>1</w:t>
      </w:r>
      <w:r w:rsidRPr="00FB6AA8">
        <w:rPr>
          <w:rFonts w:ascii="Times New Roman" w:hAnsi="Times New Roman" w:cs="Times New Roman"/>
          <w:sz w:val="24"/>
          <w:szCs w:val="24"/>
        </w:rPr>
        <w:t>,Ali Erdem YILDIRIM</w:t>
      </w:r>
      <w:r w:rsidR="003C4E60">
        <w:rPr>
          <w:rFonts w:ascii="Times New Roman" w:hAnsi="Times New Roman" w:cs="Times New Roman"/>
          <w:sz w:val="24"/>
          <w:szCs w:val="24"/>
        </w:rPr>
        <w:t>, MD</w:t>
      </w:r>
      <w:r w:rsidRPr="00FB6AA8">
        <w:rPr>
          <w:rFonts w:ascii="Times New Roman" w:hAnsi="Times New Roman" w:cs="Times New Roman"/>
          <w:sz w:val="24"/>
          <w:szCs w:val="24"/>
          <w:vertAlign w:val="superscript"/>
        </w:rPr>
        <w:t>2</w:t>
      </w:r>
      <w:r w:rsidR="003C4E60">
        <w:rPr>
          <w:rFonts w:ascii="Times New Roman" w:hAnsi="Times New Roman" w:cs="Times New Roman"/>
          <w:sz w:val="24"/>
          <w:szCs w:val="24"/>
        </w:rPr>
        <w:t xml:space="preserve">, </w:t>
      </w:r>
      <w:r w:rsidRPr="00FB6AA8">
        <w:rPr>
          <w:rFonts w:ascii="Times New Roman" w:hAnsi="Times New Roman" w:cs="Times New Roman"/>
          <w:sz w:val="24"/>
          <w:szCs w:val="24"/>
        </w:rPr>
        <w:t>Arif ÖSÜN</w:t>
      </w:r>
      <w:r w:rsidR="003C4E60">
        <w:rPr>
          <w:rFonts w:ascii="Times New Roman" w:hAnsi="Times New Roman" w:cs="Times New Roman"/>
          <w:sz w:val="24"/>
          <w:szCs w:val="24"/>
        </w:rPr>
        <w:t>, Ass.Prof.</w:t>
      </w:r>
      <w:r w:rsidRPr="00FB6AA8">
        <w:rPr>
          <w:rFonts w:ascii="Times New Roman" w:hAnsi="Times New Roman" w:cs="Times New Roman"/>
          <w:sz w:val="24"/>
          <w:szCs w:val="24"/>
          <w:vertAlign w:val="superscript"/>
        </w:rPr>
        <w:t>1</w:t>
      </w:r>
      <w:r w:rsidR="003C4E60">
        <w:rPr>
          <w:rFonts w:ascii="Times New Roman" w:hAnsi="Times New Roman" w:cs="Times New Roman"/>
          <w:sz w:val="24"/>
          <w:szCs w:val="24"/>
        </w:rPr>
        <w:t xml:space="preserve">, </w:t>
      </w:r>
      <w:r w:rsidRPr="00FB6AA8">
        <w:rPr>
          <w:rFonts w:ascii="Times New Roman" w:hAnsi="Times New Roman" w:cs="Times New Roman"/>
          <w:sz w:val="24"/>
          <w:szCs w:val="24"/>
        </w:rPr>
        <w:t>Fatih ALAGÖZ</w:t>
      </w:r>
      <w:r w:rsidR="003C4E60">
        <w:rPr>
          <w:rFonts w:ascii="Times New Roman" w:hAnsi="Times New Roman" w:cs="Times New Roman"/>
          <w:sz w:val="24"/>
          <w:szCs w:val="24"/>
        </w:rPr>
        <w:t xml:space="preserve">, </w:t>
      </w:r>
      <w:bookmarkStart w:id="0" w:name="_GoBack"/>
      <w:bookmarkEnd w:id="0"/>
      <w:r w:rsidR="003C4E60">
        <w:rPr>
          <w:rFonts w:ascii="Times New Roman" w:hAnsi="Times New Roman" w:cs="Times New Roman"/>
          <w:sz w:val="24"/>
          <w:szCs w:val="24"/>
        </w:rPr>
        <w:t>MD</w:t>
      </w:r>
      <w:r w:rsidRPr="00FB6AA8">
        <w:rPr>
          <w:rFonts w:ascii="Times New Roman" w:hAnsi="Times New Roman" w:cs="Times New Roman"/>
          <w:sz w:val="24"/>
          <w:szCs w:val="24"/>
          <w:vertAlign w:val="superscript"/>
        </w:rPr>
        <w:t>2</w:t>
      </w:r>
      <w:r w:rsidR="003C4E60">
        <w:rPr>
          <w:rFonts w:ascii="Times New Roman" w:hAnsi="Times New Roman" w:cs="Times New Roman"/>
          <w:sz w:val="24"/>
          <w:szCs w:val="24"/>
        </w:rPr>
        <w:t xml:space="preserve">, </w:t>
      </w:r>
      <w:r w:rsidRPr="00FB6AA8">
        <w:rPr>
          <w:rFonts w:ascii="Times New Roman" w:hAnsi="Times New Roman" w:cs="Times New Roman"/>
          <w:sz w:val="24"/>
          <w:szCs w:val="24"/>
        </w:rPr>
        <w:t>Denizhan DİVANLIOĞLU</w:t>
      </w:r>
      <w:r w:rsidR="003C4E60">
        <w:rPr>
          <w:rFonts w:ascii="Times New Roman" w:hAnsi="Times New Roman" w:cs="Times New Roman"/>
          <w:sz w:val="24"/>
          <w:szCs w:val="24"/>
        </w:rPr>
        <w:t>, MD</w:t>
      </w:r>
      <w:r w:rsidRPr="00FB6AA8">
        <w:rPr>
          <w:rFonts w:ascii="Times New Roman" w:hAnsi="Times New Roman" w:cs="Times New Roman"/>
          <w:sz w:val="24"/>
          <w:szCs w:val="24"/>
          <w:vertAlign w:val="superscript"/>
        </w:rPr>
        <w:t>2</w:t>
      </w:r>
      <w:r w:rsidR="003C4E60">
        <w:rPr>
          <w:rFonts w:ascii="Times New Roman" w:hAnsi="Times New Roman" w:cs="Times New Roman"/>
          <w:sz w:val="24"/>
          <w:szCs w:val="24"/>
        </w:rPr>
        <w:t xml:space="preserve">, </w:t>
      </w:r>
      <w:r w:rsidRPr="00FB6AA8">
        <w:rPr>
          <w:rFonts w:ascii="Times New Roman" w:hAnsi="Times New Roman" w:cs="Times New Roman"/>
          <w:sz w:val="24"/>
          <w:szCs w:val="24"/>
        </w:rPr>
        <w:t>Ergün DAĞLIOĞLU</w:t>
      </w:r>
      <w:r w:rsidR="003C4E60">
        <w:rPr>
          <w:rFonts w:ascii="Times New Roman" w:hAnsi="Times New Roman" w:cs="Times New Roman"/>
          <w:sz w:val="24"/>
          <w:szCs w:val="24"/>
        </w:rPr>
        <w:t>, Assoc.Prof.</w:t>
      </w:r>
      <w:r w:rsidRPr="00FB6AA8">
        <w:rPr>
          <w:rFonts w:ascii="Times New Roman" w:hAnsi="Times New Roman" w:cs="Times New Roman"/>
          <w:sz w:val="24"/>
          <w:szCs w:val="24"/>
          <w:vertAlign w:val="superscript"/>
        </w:rPr>
        <w:t>2</w:t>
      </w:r>
      <w:r w:rsidR="003C4E60">
        <w:rPr>
          <w:rFonts w:ascii="Times New Roman" w:hAnsi="Times New Roman" w:cs="Times New Roman"/>
          <w:sz w:val="24"/>
          <w:szCs w:val="24"/>
        </w:rPr>
        <w:t xml:space="preserve">, </w:t>
      </w:r>
      <w:r w:rsidRPr="00FB6AA8">
        <w:rPr>
          <w:rFonts w:ascii="Times New Roman" w:hAnsi="Times New Roman" w:cs="Times New Roman"/>
          <w:sz w:val="24"/>
          <w:szCs w:val="24"/>
        </w:rPr>
        <w:t>Ahmet Deniz BELEN</w:t>
      </w:r>
      <w:r w:rsidR="003C4E60">
        <w:rPr>
          <w:rFonts w:ascii="Times New Roman" w:hAnsi="Times New Roman" w:cs="Times New Roman"/>
          <w:sz w:val="24"/>
          <w:szCs w:val="24"/>
        </w:rPr>
        <w:t>, Prof.</w:t>
      </w:r>
      <w:r w:rsidRPr="00FB6AA8">
        <w:rPr>
          <w:rFonts w:ascii="Times New Roman" w:hAnsi="Times New Roman" w:cs="Times New Roman"/>
          <w:sz w:val="24"/>
          <w:szCs w:val="24"/>
          <w:vertAlign w:val="superscript"/>
        </w:rPr>
        <w:t>2</w:t>
      </w:r>
    </w:p>
    <w:p w:rsidR="00070AFD" w:rsidRDefault="00070AFD"/>
    <w:p w:rsidR="00E97C10" w:rsidRPr="00FB6AA8" w:rsidRDefault="0041361C">
      <w:pPr>
        <w:rPr>
          <w:rFonts w:ascii="Times New Roman" w:hAnsi="Times New Roman" w:cs="Times New Roman"/>
          <w:sz w:val="24"/>
          <w:szCs w:val="24"/>
        </w:rPr>
      </w:pPr>
      <w:r w:rsidRPr="00FB6AA8">
        <w:rPr>
          <w:rFonts w:ascii="Times New Roman" w:hAnsi="Times New Roman" w:cs="Times New Roman"/>
          <w:sz w:val="24"/>
          <w:szCs w:val="24"/>
        </w:rPr>
        <w:t>Running Head: Endoscopic Hypophysectomy</w:t>
      </w:r>
    </w:p>
    <w:p w:rsidR="00E97C10" w:rsidRPr="00FB6AA8" w:rsidRDefault="00E97C10">
      <w:pPr>
        <w:rPr>
          <w:rFonts w:ascii="Times New Roman" w:hAnsi="Times New Roman" w:cs="Times New Roman"/>
          <w:sz w:val="24"/>
          <w:szCs w:val="24"/>
        </w:rPr>
      </w:pPr>
    </w:p>
    <w:p w:rsidR="00E97C10" w:rsidRPr="00FB6AA8" w:rsidRDefault="00E97C10">
      <w:pPr>
        <w:rPr>
          <w:rFonts w:ascii="Times New Roman" w:hAnsi="Times New Roman" w:cs="Times New Roman"/>
          <w:sz w:val="24"/>
          <w:szCs w:val="24"/>
        </w:rPr>
      </w:pPr>
    </w:p>
    <w:p w:rsidR="00E97C10" w:rsidRPr="00FB6AA8" w:rsidRDefault="00E97C10" w:rsidP="00E97C10">
      <w:pPr>
        <w:pStyle w:val="ListeParagraf"/>
        <w:numPr>
          <w:ilvl w:val="0"/>
          <w:numId w:val="1"/>
        </w:numPr>
        <w:rPr>
          <w:rFonts w:ascii="Times New Roman" w:hAnsi="Times New Roman" w:cs="Times New Roman"/>
          <w:sz w:val="24"/>
          <w:szCs w:val="24"/>
        </w:rPr>
      </w:pPr>
      <w:r w:rsidRPr="00FB6AA8">
        <w:rPr>
          <w:rFonts w:ascii="Times New Roman" w:hAnsi="Times New Roman" w:cs="Times New Roman"/>
          <w:sz w:val="24"/>
          <w:szCs w:val="24"/>
        </w:rPr>
        <w:t>Dumlupınar University Evliya Celebi Education and Research Hospital Department of Neurosurgery Kütahya/TURKEY</w:t>
      </w:r>
    </w:p>
    <w:p w:rsidR="00E97C10" w:rsidRPr="00FB6AA8" w:rsidRDefault="00E97C10" w:rsidP="00E97C10">
      <w:pPr>
        <w:pStyle w:val="ListeParagraf"/>
        <w:numPr>
          <w:ilvl w:val="0"/>
          <w:numId w:val="1"/>
        </w:numPr>
        <w:rPr>
          <w:rFonts w:ascii="Times New Roman" w:hAnsi="Times New Roman" w:cs="Times New Roman"/>
          <w:sz w:val="24"/>
          <w:szCs w:val="24"/>
        </w:rPr>
      </w:pPr>
      <w:r w:rsidRPr="00FB6AA8">
        <w:rPr>
          <w:rFonts w:ascii="Times New Roman" w:hAnsi="Times New Roman" w:cs="Times New Roman"/>
          <w:sz w:val="24"/>
          <w:szCs w:val="24"/>
        </w:rPr>
        <w:t>Ankara Numune Education and Research Hospital Department of Neurosurgery Ankara/TURKEY</w:t>
      </w:r>
    </w:p>
    <w:p w:rsidR="00E97C10" w:rsidRPr="00FB6AA8" w:rsidRDefault="00E97C10" w:rsidP="00E97C10">
      <w:pPr>
        <w:ind w:left="360"/>
        <w:rPr>
          <w:rFonts w:ascii="Times New Roman" w:hAnsi="Times New Roman" w:cs="Times New Roman"/>
          <w:sz w:val="24"/>
          <w:szCs w:val="24"/>
        </w:rPr>
      </w:pPr>
    </w:p>
    <w:p w:rsidR="00E97C10" w:rsidRPr="00FB6AA8" w:rsidRDefault="00E97C10" w:rsidP="00FB6AA8">
      <w:pPr>
        <w:rPr>
          <w:rFonts w:ascii="Times New Roman" w:hAnsi="Times New Roman" w:cs="Times New Roman"/>
          <w:sz w:val="24"/>
          <w:szCs w:val="24"/>
        </w:rPr>
      </w:pPr>
      <w:r w:rsidRPr="00FB6AA8">
        <w:rPr>
          <w:rFonts w:ascii="Times New Roman" w:hAnsi="Times New Roman" w:cs="Times New Roman"/>
          <w:sz w:val="24"/>
          <w:szCs w:val="24"/>
        </w:rPr>
        <w:t>For Correspondance: Murat Korkmaz</w:t>
      </w:r>
    </w:p>
    <w:p w:rsidR="00E97C10" w:rsidRPr="00FB6AA8" w:rsidRDefault="00E97C10" w:rsidP="00E97C10">
      <w:pPr>
        <w:rPr>
          <w:rFonts w:ascii="Times New Roman" w:hAnsi="Times New Roman" w:cs="Times New Roman"/>
          <w:sz w:val="24"/>
          <w:szCs w:val="24"/>
        </w:rPr>
      </w:pPr>
      <w:r w:rsidRPr="00FB6AA8">
        <w:rPr>
          <w:rFonts w:ascii="Times New Roman" w:hAnsi="Times New Roman" w:cs="Times New Roman"/>
          <w:sz w:val="24"/>
          <w:szCs w:val="24"/>
        </w:rPr>
        <w:t>Dumlupınar University Evliya Celebi Education and Research Hospital Department of Neurosurgery Kütahya/TURKEY</w:t>
      </w:r>
    </w:p>
    <w:p w:rsidR="00E97C10" w:rsidRPr="00FB6AA8" w:rsidRDefault="00ED239A" w:rsidP="00E97C10">
      <w:pPr>
        <w:rPr>
          <w:rFonts w:ascii="Times New Roman" w:hAnsi="Times New Roman" w:cs="Times New Roman"/>
          <w:sz w:val="24"/>
          <w:szCs w:val="24"/>
        </w:rPr>
      </w:pPr>
      <w:r w:rsidRPr="00FB6AA8">
        <w:rPr>
          <w:rFonts w:ascii="Times New Roman" w:hAnsi="Times New Roman" w:cs="Times New Roman"/>
          <w:sz w:val="24"/>
          <w:szCs w:val="24"/>
        </w:rPr>
        <w:t>Fax:</w:t>
      </w:r>
      <w:r w:rsidR="00E97C10" w:rsidRPr="00FB6AA8">
        <w:rPr>
          <w:rFonts w:ascii="Times New Roman" w:hAnsi="Times New Roman" w:cs="Times New Roman"/>
          <w:sz w:val="24"/>
          <w:szCs w:val="24"/>
        </w:rPr>
        <w:t>+90274</w:t>
      </w:r>
      <w:r w:rsidRPr="00FB6AA8">
        <w:rPr>
          <w:rFonts w:ascii="Times New Roman" w:hAnsi="Times New Roman" w:cs="Times New Roman"/>
          <w:sz w:val="24"/>
          <w:szCs w:val="24"/>
        </w:rPr>
        <w:t xml:space="preserve"> 2316673</w:t>
      </w:r>
    </w:p>
    <w:p w:rsidR="00ED239A" w:rsidRPr="00FB6AA8" w:rsidRDefault="00ED239A" w:rsidP="00E97C10">
      <w:pPr>
        <w:rPr>
          <w:rFonts w:ascii="Times New Roman" w:hAnsi="Times New Roman" w:cs="Times New Roman"/>
          <w:sz w:val="24"/>
          <w:szCs w:val="24"/>
        </w:rPr>
      </w:pPr>
      <w:r w:rsidRPr="00FB6AA8">
        <w:rPr>
          <w:rFonts w:ascii="Times New Roman" w:hAnsi="Times New Roman" w:cs="Times New Roman"/>
          <w:sz w:val="24"/>
          <w:szCs w:val="24"/>
        </w:rPr>
        <w:t>GSM:+90530 2286619</w:t>
      </w:r>
    </w:p>
    <w:p w:rsidR="00ED239A" w:rsidRPr="00FB6AA8" w:rsidRDefault="00ED239A" w:rsidP="00E97C10">
      <w:pPr>
        <w:rPr>
          <w:rFonts w:ascii="Times New Roman" w:hAnsi="Times New Roman" w:cs="Times New Roman"/>
          <w:sz w:val="24"/>
          <w:szCs w:val="24"/>
        </w:rPr>
      </w:pPr>
      <w:r w:rsidRPr="00FB6AA8">
        <w:rPr>
          <w:rFonts w:ascii="Times New Roman" w:hAnsi="Times New Roman" w:cs="Times New Roman"/>
          <w:sz w:val="24"/>
          <w:szCs w:val="24"/>
        </w:rPr>
        <w:t>Mail: drmuratkorkmaz35@gmail.com</w:t>
      </w:r>
    </w:p>
    <w:p w:rsidR="00E97C10" w:rsidRDefault="00E97C10"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Default="007A1BBF" w:rsidP="00E97C10">
      <w:pPr>
        <w:ind w:left="360"/>
        <w:rPr>
          <w:rFonts w:ascii="Times New Roman" w:hAnsi="Times New Roman" w:cs="Times New Roman"/>
          <w:sz w:val="24"/>
          <w:szCs w:val="24"/>
        </w:rPr>
      </w:pPr>
    </w:p>
    <w:p w:rsidR="007A1BBF" w:rsidRPr="002D5D79" w:rsidRDefault="007A1BBF" w:rsidP="007A1BBF">
      <w:pPr>
        <w:ind w:left="708"/>
        <w:jc w:val="center"/>
        <w:rPr>
          <w:rFonts w:ascii="Times New Roman" w:hAnsi="Times New Roman" w:cs="Times New Roman"/>
          <w:sz w:val="28"/>
          <w:szCs w:val="28"/>
        </w:rPr>
      </w:pPr>
      <w:r w:rsidRPr="002D5D79">
        <w:rPr>
          <w:rFonts w:ascii="Times New Roman" w:hAnsi="Times New Roman" w:cs="Times New Roman"/>
          <w:sz w:val="28"/>
          <w:szCs w:val="28"/>
        </w:rPr>
        <w:t>Endoscopic Endonasal Transsphenoidal Pituitary</w:t>
      </w:r>
    </w:p>
    <w:p w:rsidR="007A1BBF" w:rsidRPr="002D5D79" w:rsidRDefault="007A1BBF" w:rsidP="007A1BBF">
      <w:pPr>
        <w:ind w:left="708"/>
        <w:jc w:val="center"/>
        <w:rPr>
          <w:rFonts w:ascii="Times New Roman" w:hAnsi="Times New Roman" w:cs="Times New Roman"/>
          <w:sz w:val="28"/>
          <w:szCs w:val="28"/>
        </w:rPr>
      </w:pPr>
      <w:r w:rsidRPr="002D5D79">
        <w:rPr>
          <w:rFonts w:ascii="Times New Roman" w:hAnsi="Times New Roman" w:cs="Times New Roman"/>
          <w:sz w:val="28"/>
          <w:szCs w:val="28"/>
        </w:rPr>
        <w:t>Surgery: Experience Of 80 Cases</w:t>
      </w:r>
    </w:p>
    <w:p w:rsidR="007A1BBF" w:rsidRPr="002D5D79" w:rsidRDefault="007A1BBF" w:rsidP="007A1BBF">
      <w:pPr>
        <w:ind w:left="708"/>
        <w:jc w:val="both"/>
        <w:rPr>
          <w:rFonts w:ascii="Times New Roman" w:hAnsi="Times New Roman" w:cs="Times New Roman"/>
          <w:sz w:val="28"/>
          <w:szCs w:val="28"/>
        </w:rPr>
      </w:pP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ABSTRACT:</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 xml:space="preserve">Surgical approaches to the pituitary have undergone numerous reﬁnements over the last 100 years. Fully endoscopic transsphenoidal approach has gained widespread use in all around the </w:t>
      </w:r>
      <w:proofErr w:type="gramStart"/>
      <w:r w:rsidRPr="00083676">
        <w:rPr>
          <w:rFonts w:ascii="Times New Roman" w:hAnsi="Times New Roman" w:cs="Times New Roman"/>
          <w:sz w:val="24"/>
          <w:szCs w:val="24"/>
        </w:rPr>
        <w:t>world.</w:t>
      </w:r>
      <w:r>
        <w:rPr>
          <w:rFonts w:ascii="Times New Roman" w:hAnsi="Times New Roman" w:cs="Times New Roman"/>
          <w:sz w:val="24"/>
          <w:szCs w:val="24"/>
        </w:rPr>
        <w:t>We</w:t>
      </w:r>
      <w:proofErr w:type="gramEnd"/>
      <w:r>
        <w:rPr>
          <w:rFonts w:ascii="Times New Roman" w:hAnsi="Times New Roman" w:cs="Times New Roman"/>
          <w:sz w:val="24"/>
          <w:szCs w:val="24"/>
        </w:rPr>
        <w:t xml:space="preserve"> report the results of a consecutive series of patients underwent pituitary surgery using a </w:t>
      </w:r>
      <w:r w:rsidRPr="00083676">
        <w:rPr>
          <w:rFonts w:ascii="Times New Roman" w:hAnsi="Times New Roman" w:cs="Times New Roman"/>
          <w:sz w:val="24"/>
          <w:szCs w:val="24"/>
        </w:rPr>
        <w:t>pure endo</w:t>
      </w:r>
      <w:r>
        <w:rPr>
          <w:rFonts w:ascii="Times New Roman" w:hAnsi="Times New Roman" w:cs="Times New Roman"/>
          <w:sz w:val="24"/>
          <w:szCs w:val="24"/>
        </w:rPr>
        <w:t xml:space="preserve">scopic endonasal approach andthe reults of evaluation of </w:t>
      </w:r>
      <w:r w:rsidRPr="00083676">
        <w:rPr>
          <w:rFonts w:ascii="Times New Roman" w:hAnsi="Times New Roman" w:cs="Times New Roman"/>
          <w:sz w:val="24"/>
          <w:szCs w:val="24"/>
        </w:rPr>
        <w:t xml:space="preserve"> the efﬁcacy and safety of this procedure. We reviewed a retrospective database of 80 </w:t>
      </w:r>
      <w:proofErr w:type="gramStart"/>
      <w:r w:rsidRPr="00083676">
        <w:rPr>
          <w:rFonts w:ascii="Times New Roman" w:hAnsi="Times New Roman" w:cs="Times New Roman"/>
          <w:sz w:val="24"/>
          <w:szCs w:val="24"/>
        </w:rPr>
        <w:t>consecutive  pituitary</w:t>
      </w:r>
      <w:proofErr w:type="gramEnd"/>
      <w:r w:rsidRPr="00083676">
        <w:rPr>
          <w:rFonts w:ascii="Times New Roman" w:hAnsi="Times New Roman" w:cs="Times New Roman"/>
          <w:sz w:val="24"/>
          <w:szCs w:val="24"/>
        </w:rPr>
        <w:t xml:space="preserve"> adenomas that were resected by a purely endoscopic endonasal transsphenoidal technique.</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 xml:space="preserve">Preoperative clinical condition of the patients, hormone profile, visual field, CT and MRI findings, Hardy-Vezina and Knosp scores were evaluated and pointed the importance of the parameters for </w:t>
      </w:r>
      <w:proofErr w:type="gramStart"/>
      <w:r w:rsidRPr="00083676">
        <w:rPr>
          <w:rFonts w:ascii="Times New Roman" w:hAnsi="Times New Roman" w:cs="Times New Roman"/>
          <w:sz w:val="24"/>
          <w:szCs w:val="24"/>
        </w:rPr>
        <w:t>surgery.Surgical</w:t>
      </w:r>
      <w:proofErr w:type="gramEnd"/>
      <w:r w:rsidRPr="00083676">
        <w:rPr>
          <w:rFonts w:ascii="Times New Roman" w:hAnsi="Times New Roman" w:cs="Times New Roman"/>
          <w:sz w:val="24"/>
          <w:szCs w:val="24"/>
        </w:rPr>
        <w:t xml:space="preserve"> technique, postoperative clinical condition of the patients, hormone profile, complications and follow-up period was reviewed.</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In conclusion endonasal endoscopic pituitary surgery is a safe and effective surgical technique.</w:t>
      </w:r>
    </w:p>
    <w:p w:rsidR="007A1BBF" w:rsidRPr="00083676" w:rsidRDefault="007A1BBF" w:rsidP="007A1BBF">
      <w:pPr>
        <w:spacing w:line="360" w:lineRule="auto"/>
        <w:ind w:left="708"/>
        <w:jc w:val="both"/>
        <w:rPr>
          <w:rFonts w:ascii="Times New Roman" w:hAnsi="Times New Roman" w:cs="Times New Roman"/>
          <w:sz w:val="24"/>
          <w:szCs w:val="24"/>
        </w:rPr>
      </w:pP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INTRODUCTION:</w:t>
      </w:r>
    </w:p>
    <w:p w:rsidR="007A1BBF" w:rsidRPr="00083676" w:rsidRDefault="007A1BBF" w:rsidP="007A1BBF">
      <w:pPr>
        <w:shd w:val="clear" w:color="auto" w:fill="FFFFFF"/>
        <w:spacing w:before="100" w:beforeAutospacing="1" w:after="300" w:line="360" w:lineRule="auto"/>
        <w:ind w:left="708"/>
        <w:jc w:val="both"/>
        <w:rPr>
          <w:rFonts w:ascii="Times New Roman" w:eastAsia="Times New Roman" w:hAnsi="Times New Roman" w:cs="Times New Roman"/>
          <w:sz w:val="24"/>
          <w:szCs w:val="24"/>
          <w:lang w:eastAsia="tr-TR"/>
        </w:rPr>
      </w:pPr>
      <w:r w:rsidRPr="00083676">
        <w:rPr>
          <w:rFonts w:ascii="Times New Roman" w:hAnsi="Times New Roman" w:cs="Times New Roman"/>
          <w:sz w:val="24"/>
          <w:szCs w:val="24"/>
        </w:rPr>
        <w:tab/>
      </w:r>
      <w:r w:rsidRPr="00083676">
        <w:rPr>
          <w:rFonts w:ascii="Times New Roman" w:eastAsia="Times New Roman" w:hAnsi="Times New Roman" w:cs="Times New Roman"/>
          <w:sz w:val="24"/>
          <w:szCs w:val="24"/>
          <w:lang w:eastAsia="tr-TR"/>
        </w:rPr>
        <w:t xml:space="preserve">Prior to the mid-1800s the pituitary’s function and pathology were </w:t>
      </w:r>
      <w:proofErr w:type="gramStart"/>
      <w:r w:rsidRPr="00083676">
        <w:rPr>
          <w:rFonts w:ascii="Times New Roman" w:eastAsia="Times New Roman" w:hAnsi="Times New Roman" w:cs="Times New Roman"/>
          <w:sz w:val="24"/>
          <w:szCs w:val="24"/>
          <w:lang w:eastAsia="tr-TR"/>
        </w:rPr>
        <w:t>unknown.The</w:t>
      </w:r>
      <w:proofErr w:type="gramEnd"/>
      <w:r w:rsidRPr="00083676">
        <w:rPr>
          <w:rFonts w:ascii="Times New Roman" w:eastAsia="Times New Roman" w:hAnsi="Times New Roman" w:cs="Times New Roman"/>
          <w:sz w:val="24"/>
          <w:szCs w:val="24"/>
          <w:lang w:eastAsia="tr-TR"/>
        </w:rPr>
        <w:t xml:space="preserve"> transcranial approach to the pituitary was born in 1889 with Sir Victor Horsely, who performed transfrontal surgery to resect a pituitary adenoma</w:t>
      </w:r>
      <w:r>
        <w:rPr>
          <w:rFonts w:ascii="Times New Roman" w:eastAsia="Times New Roman" w:hAnsi="Times New Roman" w:cs="Times New Roman"/>
          <w:sz w:val="24"/>
          <w:szCs w:val="24"/>
          <w:lang w:eastAsia="tr-TR"/>
        </w:rPr>
        <w:t xml:space="preserve"> (5,8)</w:t>
      </w:r>
      <w:r w:rsidRPr="00083676">
        <w:rPr>
          <w:rFonts w:ascii="Times New Roman" w:eastAsia="Times New Roman" w:hAnsi="Times New Roman" w:cs="Times New Roman"/>
          <w:sz w:val="24"/>
          <w:szCs w:val="24"/>
          <w:lang w:eastAsia="tr-TR"/>
        </w:rPr>
        <w:t>. He went on to publish a total of ten operations in 1906, reporting a mortality rate of 20%. Several neurosurgeons then followed suit, and Paul and Caton performed the transtemporal approach with little success. Ultimately, the transcranial approach came with a high mortality rate of 20-80%, and so it was abandoned for a less invasive approach.</w:t>
      </w:r>
    </w:p>
    <w:p w:rsidR="007A1BBF" w:rsidRPr="00083676" w:rsidRDefault="007A1BBF" w:rsidP="007A1BBF">
      <w:pPr>
        <w:shd w:val="clear" w:color="auto" w:fill="FFFFFF"/>
        <w:spacing w:before="100" w:beforeAutospacing="1" w:after="300" w:line="360" w:lineRule="auto"/>
        <w:ind w:left="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lastRenderedPageBreak/>
        <w:tab/>
        <w:t xml:space="preserve">The transsphenoidal surgery was first proposed by Giordano, who was chief of surgery at the University of Venice. He based his proposal on anatomic studies. </w:t>
      </w:r>
      <w:proofErr w:type="gramStart"/>
      <w:r w:rsidRPr="00083676">
        <w:rPr>
          <w:rFonts w:ascii="Times New Roman" w:eastAsia="Times New Roman" w:hAnsi="Times New Roman" w:cs="Times New Roman"/>
          <w:sz w:val="24"/>
          <w:szCs w:val="24"/>
          <w:lang w:eastAsia="tr-TR"/>
        </w:rPr>
        <w:t xml:space="preserve">Herman Schloffer, from Insbrook Austria, became the first to document transsphenoidal pituitary surgery in 1907. He did this via a 3 stage surgery where he performed a transfacial incision, a lateral rhinotomy along the left side of the nose up to the glabella, and reflecting the nose to the right. </w:t>
      </w:r>
      <w:proofErr w:type="gramEnd"/>
      <w:r w:rsidRPr="00083676">
        <w:rPr>
          <w:rFonts w:ascii="Times New Roman" w:eastAsia="Times New Roman" w:hAnsi="Times New Roman" w:cs="Times New Roman"/>
          <w:sz w:val="24"/>
          <w:szCs w:val="24"/>
          <w:lang w:eastAsia="tr-TR"/>
        </w:rPr>
        <w:t>The next stage involved removal of the middle and inferior turbinates as well as the septum. He removed the anterior and posterior ethmoids. And in the final stage, he removed the volmer and rostrum of the sphenoid to finally arrive at the sella. Discontented with Schloffer’s approach, however, in 1910, Cushing incorporated Halstead’s sublabial incision and Kocher’s submucosal resection of the septum to perform a sublabial transeptal transsphenoidal approach, which is the surgery that is used to this day</w:t>
      </w:r>
      <w:r>
        <w:rPr>
          <w:rFonts w:ascii="Times New Roman" w:eastAsia="Times New Roman" w:hAnsi="Times New Roman" w:cs="Times New Roman"/>
          <w:sz w:val="24"/>
          <w:szCs w:val="24"/>
          <w:lang w:eastAsia="tr-TR"/>
        </w:rPr>
        <w:t>(8)</w:t>
      </w:r>
      <w:r w:rsidRPr="00083676">
        <w:rPr>
          <w:rFonts w:ascii="Times New Roman" w:eastAsia="Times New Roman" w:hAnsi="Times New Roman" w:cs="Times New Roman"/>
          <w:sz w:val="24"/>
          <w:szCs w:val="24"/>
          <w:lang w:eastAsia="tr-TR"/>
        </w:rPr>
        <w:t xml:space="preserve">. </w:t>
      </w:r>
    </w:p>
    <w:p w:rsidR="007A1BBF" w:rsidRPr="00083676" w:rsidRDefault="007A1BBF" w:rsidP="007A1BBF">
      <w:pPr>
        <w:spacing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The versatility of the transsephenoidal approach was greatly expanded by using f</w:t>
      </w:r>
      <w:r w:rsidRPr="00083676">
        <w:rPr>
          <w:rFonts w:ascii="Times New Roman" w:hAnsi="Times New Roman" w:cs="Times New Roman"/>
          <w:sz w:val="24"/>
          <w:szCs w:val="24"/>
        </w:rPr>
        <w:t>luoroscopy and the operating microscope</w:t>
      </w:r>
      <w:r>
        <w:rPr>
          <w:rFonts w:ascii="Times New Roman" w:hAnsi="Times New Roman" w:cs="Times New Roman"/>
          <w:sz w:val="24"/>
          <w:szCs w:val="24"/>
        </w:rPr>
        <w:t xml:space="preserve"> but for greater visuality and accuracy more modifications are needed. In 1990s, a collaboration of neurosurgeons and otolaryngologists described t</w:t>
      </w:r>
      <w:r w:rsidRPr="00083676">
        <w:rPr>
          <w:rFonts w:ascii="Times New Roman" w:hAnsi="Times New Roman" w:cs="Times New Roman"/>
          <w:sz w:val="24"/>
          <w:szCs w:val="24"/>
        </w:rPr>
        <w:t>he pure endoscopic transsphenoidal technique, in which the endoscope is used alone for visualization without an accompanying microscope or transsphenoidal retractor</w:t>
      </w:r>
      <w:r>
        <w:rPr>
          <w:rFonts w:ascii="Times New Roman" w:hAnsi="Times New Roman" w:cs="Times New Roman"/>
          <w:sz w:val="24"/>
          <w:szCs w:val="24"/>
        </w:rPr>
        <w:t>(8)</w:t>
      </w:r>
      <w:r w:rsidRPr="00083676">
        <w:rPr>
          <w:rFonts w:ascii="Times New Roman" w:hAnsi="Times New Roman" w:cs="Times New Roman"/>
          <w:sz w:val="24"/>
          <w:szCs w:val="24"/>
        </w:rPr>
        <w:t>.</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color w:val="000000"/>
          <w:sz w:val="24"/>
          <w:szCs w:val="24"/>
          <w:shd w:val="clear" w:color="auto" w:fill="FFFFFF" w:themeFill="background1"/>
        </w:rPr>
        <w:t>Although there are complications such as; a</w:t>
      </w:r>
      <w:r w:rsidRPr="00083676">
        <w:rPr>
          <w:rStyle w:val="apple-converted-space"/>
          <w:rFonts w:ascii="Times New Roman" w:hAnsi="Times New Roman" w:cs="Times New Roman"/>
          <w:color w:val="000000" w:themeColor="text1"/>
          <w:sz w:val="24"/>
          <w:szCs w:val="24"/>
          <w:shd w:val="clear" w:color="auto" w:fill="FFFFFF" w:themeFill="background1"/>
        </w:rPr>
        <w:t>nterior pituitary</w:t>
      </w:r>
      <w:r w:rsidRPr="00083676">
        <w:rPr>
          <w:rFonts w:ascii="Times New Roman" w:hAnsi="Times New Roman" w:cs="Times New Roman"/>
          <w:color w:val="000000"/>
          <w:sz w:val="24"/>
          <w:szCs w:val="24"/>
          <w:shd w:val="clear" w:color="auto" w:fill="FFFFFF" w:themeFill="background1"/>
        </w:rPr>
        <w:t xml:space="preserve"> insufficiency,  diabetes insipidus, cerebrospinal fluid fistulas, carotid artery injuries, hypothalamic injuries, loss of vision, and meningitis</w:t>
      </w:r>
      <w:r>
        <w:rPr>
          <w:rFonts w:ascii="Times New Roman" w:hAnsi="Times New Roman" w:cs="Times New Roman"/>
          <w:color w:val="000000"/>
          <w:sz w:val="24"/>
          <w:szCs w:val="24"/>
          <w:shd w:val="clear" w:color="auto" w:fill="FFFFFF" w:themeFill="background1"/>
        </w:rPr>
        <w:t xml:space="preserve"> (6</w:t>
      </w:r>
      <w:r w:rsidRPr="00083676">
        <w:rPr>
          <w:rFonts w:ascii="Times New Roman" w:hAnsi="Times New Roman" w:cs="Times New Roman"/>
          <w:color w:val="000000"/>
          <w:sz w:val="24"/>
          <w:szCs w:val="24"/>
          <w:shd w:val="clear" w:color="auto" w:fill="FFFFFF" w:themeFill="background1"/>
        </w:rPr>
        <w:t>), t</w:t>
      </w:r>
      <w:r w:rsidRPr="00083676">
        <w:rPr>
          <w:rFonts w:ascii="Times New Roman" w:hAnsi="Times New Roman" w:cs="Times New Roman"/>
          <w:sz w:val="24"/>
          <w:szCs w:val="24"/>
        </w:rPr>
        <w:t>he development of neuroendoscopy and the popularization of transsphenoidal endoscopic guided pituitary surgery have been associated with better tumor resection results. Detailed preoperative evaluation of the patient and the experience of the surgeon are two of the major factors to decrease mortality and the morbidity rate</w:t>
      </w:r>
      <w:r>
        <w:rPr>
          <w:rFonts w:ascii="Times New Roman" w:hAnsi="Times New Roman" w:cs="Times New Roman"/>
          <w:sz w:val="24"/>
          <w:szCs w:val="24"/>
        </w:rPr>
        <w:t xml:space="preserve"> (7)</w:t>
      </w:r>
      <w:r w:rsidRPr="00083676">
        <w:rPr>
          <w:rFonts w:ascii="Times New Roman" w:hAnsi="Times New Roman" w:cs="Times New Roman"/>
          <w:sz w:val="24"/>
          <w:szCs w:val="24"/>
        </w:rPr>
        <w:t>.</w:t>
      </w:r>
    </w:p>
    <w:p w:rsidR="007A1BBF" w:rsidRPr="00083676" w:rsidRDefault="007A1BBF" w:rsidP="007A1BBF">
      <w:pPr>
        <w:spacing w:line="360" w:lineRule="auto"/>
        <w:ind w:left="708"/>
        <w:jc w:val="both"/>
        <w:rPr>
          <w:rFonts w:ascii="Times New Roman" w:hAnsi="Times New Roman" w:cs="Times New Roman"/>
          <w:sz w:val="24"/>
          <w:szCs w:val="24"/>
        </w:rPr>
      </w:pP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MATERIAL AND METHOD:</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In this retrospective study, 80 patients with pituitary tumor who underwent purely endoscopic endonasal transsphenoidal pituitary surgery during the period of August 2005 to September 2011 in the department of neurosurgery, Ankara Numune Eğitim ve Araştırma Hastanesi, Ankara, Turkey were included.</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lastRenderedPageBreak/>
        <w:t xml:space="preserve">All patients were preoperatively assessed clinically and radiologically [plain x-ray </w:t>
      </w:r>
      <w:proofErr w:type="gramStart"/>
      <w:r w:rsidRPr="00083676">
        <w:rPr>
          <w:rFonts w:ascii="Times New Roman" w:hAnsi="Times New Roman" w:cs="Times New Roman"/>
          <w:sz w:val="24"/>
          <w:szCs w:val="24"/>
        </w:rPr>
        <w:t>skull,paranasal</w:t>
      </w:r>
      <w:proofErr w:type="gramEnd"/>
      <w:r w:rsidRPr="00083676">
        <w:rPr>
          <w:rFonts w:ascii="Times New Roman" w:hAnsi="Times New Roman" w:cs="Times New Roman"/>
          <w:sz w:val="24"/>
          <w:szCs w:val="24"/>
        </w:rPr>
        <w:t xml:space="preserve"> sinus and sellar CT (Toshiba Activion 16 multislice CT; Tokyo, Japan) and contrast enhanced hypophysis MRI (GE 1.5 T Sigma Excite; New</w:t>
      </w:r>
      <w:r>
        <w:rPr>
          <w:rFonts w:ascii="Times New Roman" w:hAnsi="Times New Roman" w:cs="Times New Roman"/>
          <w:sz w:val="24"/>
          <w:szCs w:val="24"/>
        </w:rPr>
        <w:t xml:space="preserve"> Y</w:t>
      </w:r>
      <w:r w:rsidRPr="00083676">
        <w:rPr>
          <w:rFonts w:ascii="Times New Roman" w:hAnsi="Times New Roman" w:cs="Times New Roman"/>
          <w:sz w:val="24"/>
          <w:szCs w:val="24"/>
        </w:rPr>
        <w:t xml:space="preserve">ork, USA)]. Preoperative visual field analysis (Humphrey Instruments, Carl Zeiss) and anteriorpituitary hormone analysis (ACTH, early morning cortisol level, urine cortisol, PRL, TSH,  T3, T4, GH, IGF-1, FSH, LH, E2, and free testosterone) wereevaluated. The dimension of the adenoma, suprasellar and cavernous sinus extension, condition of the sellar floor, septation and pneumatisation of the sphenoid sinus and paranasal pathological conditions were recorded. </w:t>
      </w:r>
      <w:r>
        <w:rPr>
          <w:rFonts w:ascii="Times New Roman" w:hAnsi="Times New Roman" w:cs="Times New Roman"/>
          <w:sz w:val="24"/>
          <w:szCs w:val="24"/>
        </w:rPr>
        <w:t>All of the patients were classified according to Knosp, Hardy and Vezina classifications.</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All of the patients were operated by purely endoscopic endonasal technique. One hour before the operation, intravenous 1gr ceftriaxone was used for prophylaxis. Binostril endoscopic endonasal surgery was performed with 0˚ and 30˚ rigid wide angle endoscopes (Karl Storz, GmbH&amp;Co</w:t>
      </w:r>
      <w:proofErr w:type="gramStart"/>
      <w:r w:rsidRPr="00083676">
        <w:rPr>
          <w:rFonts w:ascii="Times New Roman" w:hAnsi="Times New Roman" w:cs="Times New Roman"/>
          <w:sz w:val="24"/>
          <w:szCs w:val="24"/>
        </w:rPr>
        <w:t>.,</w:t>
      </w:r>
      <w:proofErr w:type="gramEnd"/>
      <w:r w:rsidRPr="00083676">
        <w:rPr>
          <w:rFonts w:ascii="Times New Roman" w:hAnsi="Times New Roman" w:cs="Times New Roman"/>
          <w:sz w:val="24"/>
          <w:szCs w:val="24"/>
        </w:rPr>
        <w:t xml:space="preserve"> Tuttlingen, Germany).Mean operation duration was 180 minutes.</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 xml:space="preserve">At the early postoperative period, the patients were taken to intensive care unit. Neurological examination, confrontation visual field assessment and fluid balance was recorded. Minirin (deamino 8-D-arjinin vazopressin DDAVP) nasal spray was used in the cases with 300 ml/hr urinary output and urinary density 1005 or </w:t>
      </w:r>
      <w:proofErr w:type="gramStart"/>
      <w:r w:rsidRPr="00083676">
        <w:rPr>
          <w:rFonts w:ascii="Times New Roman" w:hAnsi="Times New Roman" w:cs="Times New Roman"/>
          <w:sz w:val="24"/>
          <w:szCs w:val="24"/>
        </w:rPr>
        <w:t>lower.Histologic</w:t>
      </w:r>
      <w:proofErr w:type="gramEnd"/>
      <w:r w:rsidRPr="00083676">
        <w:rPr>
          <w:rFonts w:ascii="Times New Roman" w:hAnsi="Times New Roman" w:cs="Times New Roman"/>
          <w:sz w:val="24"/>
          <w:szCs w:val="24"/>
        </w:rPr>
        <w:t xml:space="preserve"> examination was performed at the pathology department of the same hospital. At the first postoperative day and after third month, control MRI was taken. The patients were discharged at the fourth postoperative day.</w:t>
      </w:r>
    </w:p>
    <w:p w:rsidR="007A1BBF" w:rsidRPr="00083676" w:rsidRDefault="007A1BBF" w:rsidP="007A1BBF">
      <w:pPr>
        <w:spacing w:line="360" w:lineRule="auto"/>
        <w:ind w:left="708"/>
        <w:jc w:val="both"/>
        <w:rPr>
          <w:rFonts w:ascii="Times New Roman" w:hAnsi="Times New Roman" w:cs="Times New Roman"/>
          <w:sz w:val="24"/>
          <w:szCs w:val="24"/>
        </w:rPr>
      </w:pP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RESULTS:</w:t>
      </w: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ab/>
        <w:t>Forty-three of the patients (</w:t>
      </w:r>
      <w:proofErr w:type="gramStart"/>
      <w:r w:rsidRPr="00083676">
        <w:rPr>
          <w:rFonts w:ascii="Times New Roman" w:hAnsi="Times New Roman" w:cs="Times New Roman"/>
          <w:sz w:val="24"/>
          <w:szCs w:val="24"/>
        </w:rPr>
        <w:t>53.8</w:t>
      </w:r>
      <w:proofErr w:type="gramEnd"/>
      <w:r w:rsidRPr="00083676">
        <w:rPr>
          <w:rFonts w:ascii="Times New Roman" w:hAnsi="Times New Roman" w:cs="Times New Roman"/>
          <w:sz w:val="24"/>
          <w:szCs w:val="24"/>
        </w:rPr>
        <w:t>%) were female and the average age was 47 (20-80 age). Twenty of of the cases (25%) were recurrent pituitary adenomas and 45% of them (9 cases) were histologically non-functional. 28 cases (35%) had hypopituitarism and most of them were non-functional adenomas (Table 1).</w:t>
      </w: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ab/>
        <w:t>Automated perimetry showed that 41 patients (51.25%) had visual field defects. Unilateral temporal hemianopsia was the most common (</w:t>
      </w:r>
      <w:proofErr w:type="gramStart"/>
      <w:r w:rsidRPr="00083676">
        <w:rPr>
          <w:rFonts w:ascii="Times New Roman" w:hAnsi="Times New Roman" w:cs="Times New Roman"/>
          <w:sz w:val="24"/>
          <w:szCs w:val="24"/>
        </w:rPr>
        <w:t>48.7</w:t>
      </w:r>
      <w:proofErr w:type="gramEnd"/>
      <w:r w:rsidRPr="00083676">
        <w:rPr>
          <w:rFonts w:ascii="Times New Roman" w:hAnsi="Times New Roman" w:cs="Times New Roman"/>
          <w:sz w:val="24"/>
          <w:szCs w:val="24"/>
        </w:rPr>
        <w:t>%)  type of the visual field defect (Table2).</w:t>
      </w: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lastRenderedPageBreak/>
        <w:tab/>
        <w:t>Radiologic evaluation showed that 81.25% (65/80) cases had sellar type, the rest of the cases had presellar type pneumatization, and most of the adenomas were macroadenoma (81.25%), there was no giant adenoma. Serum hormon</w:t>
      </w:r>
      <w:r>
        <w:rPr>
          <w:rFonts w:ascii="Times New Roman" w:hAnsi="Times New Roman" w:cs="Times New Roman"/>
          <w:sz w:val="24"/>
          <w:szCs w:val="24"/>
        </w:rPr>
        <w:t>e</w:t>
      </w:r>
      <w:r w:rsidRPr="00083676">
        <w:rPr>
          <w:rFonts w:ascii="Times New Roman" w:hAnsi="Times New Roman" w:cs="Times New Roman"/>
          <w:sz w:val="24"/>
          <w:szCs w:val="24"/>
        </w:rPr>
        <w:t xml:space="preserve">levels revealed that </w:t>
      </w:r>
      <w:proofErr w:type="gramStart"/>
      <w:r w:rsidRPr="00083676">
        <w:rPr>
          <w:rFonts w:ascii="Times New Roman" w:hAnsi="Times New Roman" w:cs="Times New Roman"/>
          <w:sz w:val="24"/>
          <w:szCs w:val="24"/>
        </w:rPr>
        <w:t>61.5</w:t>
      </w:r>
      <w:proofErr w:type="gramEnd"/>
      <w:r w:rsidRPr="00083676">
        <w:rPr>
          <w:rFonts w:ascii="Times New Roman" w:hAnsi="Times New Roman" w:cs="Times New Roman"/>
          <w:sz w:val="24"/>
          <w:szCs w:val="24"/>
        </w:rPr>
        <w:t>% of the macroadenomas were non-functional, whereas 86.6% of the microadenomas were functional.</w:t>
      </w: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ab/>
        <w:t>Histologic evaluation showed that most of the aden</w:t>
      </w:r>
      <w:r>
        <w:rPr>
          <w:rFonts w:ascii="Times New Roman" w:hAnsi="Times New Roman" w:cs="Times New Roman"/>
          <w:sz w:val="24"/>
          <w:szCs w:val="24"/>
        </w:rPr>
        <w:t xml:space="preserve">omas were typical adenomas (85%). Non-functional types were </w:t>
      </w:r>
      <w:proofErr w:type="gramStart"/>
      <w:r>
        <w:rPr>
          <w:rFonts w:ascii="Times New Roman" w:hAnsi="Times New Roman" w:cs="Times New Roman"/>
          <w:sz w:val="24"/>
          <w:szCs w:val="24"/>
        </w:rPr>
        <w:t>52.5</w:t>
      </w:r>
      <w:proofErr w:type="gramEnd"/>
      <w:r>
        <w:rPr>
          <w:rFonts w:ascii="Times New Roman" w:hAnsi="Times New Roman" w:cs="Times New Roman"/>
          <w:sz w:val="24"/>
          <w:szCs w:val="24"/>
        </w:rPr>
        <w:t xml:space="preserve">% and </w:t>
      </w:r>
      <w:r w:rsidRPr="00083676">
        <w:rPr>
          <w:rFonts w:ascii="Times New Roman" w:hAnsi="Times New Roman" w:cs="Times New Roman"/>
          <w:sz w:val="24"/>
          <w:szCs w:val="24"/>
        </w:rPr>
        <w:t>somatotropic</w:t>
      </w:r>
      <w:r>
        <w:rPr>
          <w:rFonts w:ascii="Times New Roman" w:hAnsi="Times New Roman" w:cs="Times New Roman"/>
          <w:sz w:val="24"/>
          <w:szCs w:val="24"/>
        </w:rPr>
        <w:t xml:space="preserve"> types were 18.75%  </w:t>
      </w:r>
      <w:r w:rsidRPr="00083676">
        <w:rPr>
          <w:rFonts w:ascii="Times New Roman" w:hAnsi="Times New Roman" w:cs="Times New Roman"/>
          <w:sz w:val="24"/>
          <w:szCs w:val="24"/>
        </w:rPr>
        <w:t>of the</w:t>
      </w:r>
      <w:r>
        <w:rPr>
          <w:rFonts w:ascii="Times New Roman" w:hAnsi="Times New Roman" w:cs="Times New Roman"/>
          <w:sz w:val="24"/>
          <w:szCs w:val="24"/>
        </w:rPr>
        <w:t xml:space="preserve"> adenomas.</w:t>
      </w:r>
      <w:r w:rsidRPr="00083676">
        <w:rPr>
          <w:rFonts w:ascii="Times New Roman" w:hAnsi="Times New Roman" w:cs="Times New Roman"/>
          <w:sz w:val="24"/>
          <w:szCs w:val="24"/>
        </w:rPr>
        <w:t xml:space="preserve"> Half olf the atypical adenomas were non-functional (Table 3) .</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 xml:space="preserve">Adenomas were evaluated by MRI according to Knosp, Hardy and Vezina classifications (Table 4). </w:t>
      </w:r>
      <w:r>
        <w:rPr>
          <w:rFonts w:ascii="Times New Roman" w:hAnsi="Times New Roman" w:cs="Times New Roman"/>
          <w:sz w:val="24"/>
          <w:szCs w:val="24"/>
        </w:rPr>
        <w:t xml:space="preserve">Ten percent of the adenomas were </w:t>
      </w:r>
      <w:r w:rsidRPr="00083676">
        <w:rPr>
          <w:rFonts w:ascii="Times New Roman" w:hAnsi="Times New Roman" w:cs="Times New Roman"/>
          <w:sz w:val="24"/>
          <w:szCs w:val="24"/>
        </w:rPr>
        <w:t>Knosp Grade 0</w:t>
      </w:r>
      <w:r>
        <w:rPr>
          <w:rFonts w:ascii="Times New Roman" w:hAnsi="Times New Roman" w:cs="Times New Roman"/>
          <w:sz w:val="24"/>
          <w:szCs w:val="24"/>
        </w:rPr>
        <w:t xml:space="preserve">, </w:t>
      </w:r>
      <w:proofErr w:type="gramStart"/>
      <w:r>
        <w:rPr>
          <w:rFonts w:ascii="Times New Roman" w:hAnsi="Times New Roman" w:cs="Times New Roman"/>
          <w:sz w:val="24"/>
          <w:szCs w:val="24"/>
        </w:rPr>
        <w:t>37.5</w:t>
      </w:r>
      <w:proofErr w:type="gramEnd"/>
      <w:r w:rsidRPr="00083676">
        <w:rPr>
          <w:rFonts w:ascii="Times New Roman" w:hAnsi="Times New Roman" w:cs="Times New Roman"/>
          <w:sz w:val="24"/>
          <w:szCs w:val="24"/>
        </w:rPr>
        <w:t xml:space="preserve">% of them were Grade I. </w:t>
      </w:r>
      <w:r>
        <w:rPr>
          <w:rFonts w:ascii="Times New Roman" w:hAnsi="Times New Roman" w:cs="Times New Roman"/>
          <w:sz w:val="24"/>
          <w:szCs w:val="24"/>
        </w:rPr>
        <w:t xml:space="preserve">Among the non-fuctional adenomas, there was no Knosp 0 tumor. </w:t>
      </w:r>
      <w:r w:rsidRPr="00083676">
        <w:rPr>
          <w:rFonts w:ascii="Times New Roman" w:hAnsi="Times New Roman" w:cs="Times New Roman"/>
          <w:sz w:val="24"/>
          <w:szCs w:val="24"/>
        </w:rPr>
        <w:t xml:space="preserve">According to Hardy classification, </w:t>
      </w:r>
      <w:proofErr w:type="gramStart"/>
      <w:r w:rsidRPr="00083676">
        <w:rPr>
          <w:rFonts w:ascii="Times New Roman" w:hAnsi="Times New Roman" w:cs="Times New Roman"/>
          <w:sz w:val="24"/>
          <w:szCs w:val="24"/>
        </w:rPr>
        <w:t>53.3</w:t>
      </w:r>
      <w:proofErr w:type="gramEnd"/>
      <w:r w:rsidRPr="00083676">
        <w:rPr>
          <w:rFonts w:ascii="Times New Roman" w:hAnsi="Times New Roman" w:cs="Times New Roman"/>
          <w:sz w:val="24"/>
          <w:szCs w:val="24"/>
        </w:rPr>
        <w:t>% of the adenomas were Stage A and asymmetrical superior extension rate was higher (21.9%) in non-functional adenomas then functionals (8.8%). Evaluation the adenomas with Vezina classification revealed that most of the adenomas were Grade II (</w:t>
      </w:r>
      <w:proofErr w:type="gramStart"/>
      <w:r w:rsidRPr="00083676">
        <w:rPr>
          <w:rFonts w:ascii="Times New Roman" w:hAnsi="Times New Roman" w:cs="Times New Roman"/>
          <w:sz w:val="24"/>
          <w:szCs w:val="24"/>
        </w:rPr>
        <w:t>43.8</w:t>
      </w:r>
      <w:proofErr w:type="gramEnd"/>
      <w:r w:rsidRPr="00083676">
        <w:rPr>
          <w:rFonts w:ascii="Times New Roman" w:hAnsi="Times New Roman" w:cs="Times New Roman"/>
          <w:sz w:val="24"/>
          <w:szCs w:val="24"/>
        </w:rPr>
        <w:t>%) and sellar destruction rate was higher in non-functional adenomas (21%).</w:t>
      </w:r>
    </w:p>
    <w:p w:rsidR="007A1BBF" w:rsidRPr="00083676" w:rsidRDefault="007A1BBF" w:rsidP="007A1BBF">
      <w:pPr>
        <w:spacing w:line="360" w:lineRule="auto"/>
        <w:ind w:left="708" w:firstLine="708"/>
        <w:jc w:val="both"/>
        <w:rPr>
          <w:rFonts w:ascii="Times New Roman" w:hAnsi="Times New Roman" w:cs="Times New Roman"/>
          <w:sz w:val="24"/>
          <w:szCs w:val="24"/>
        </w:rPr>
      </w:pPr>
      <w:r w:rsidRPr="00083676">
        <w:rPr>
          <w:rFonts w:ascii="Times New Roman" w:hAnsi="Times New Roman" w:cs="Times New Roman"/>
          <w:sz w:val="24"/>
          <w:szCs w:val="24"/>
        </w:rPr>
        <w:t>There was no surgical complication except CSF leakage (</w:t>
      </w:r>
      <w:proofErr w:type="gramStart"/>
      <w:r w:rsidRPr="00083676">
        <w:rPr>
          <w:rFonts w:ascii="Times New Roman" w:hAnsi="Times New Roman" w:cs="Times New Roman"/>
          <w:sz w:val="24"/>
          <w:szCs w:val="24"/>
        </w:rPr>
        <w:t>3.8</w:t>
      </w:r>
      <w:proofErr w:type="gramEnd"/>
      <w:r w:rsidRPr="00083676">
        <w:rPr>
          <w:rFonts w:ascii="Times New Roman" w:hAnsi="Times New Roman" w:cs="Times New Roman"/>
          <w:sz w:val="24"/>
          <w:szCs w:val="24"/>
        </w:rPr>
        <w:t>%) which were treated by surgical repair. In 9 patients (</w:t>
      </w:r>
      <w:proofErr w:type="gramStart"/>
      <w:r w:rsidRPr="00083676">
        <w:rPr>
          <w:rFonts w:ascii="Times New Roman" w:hAnsi="Times New Roman" w:cs="Times New Roman"/>
          <w:sz w:val="24"/>
          <w:szCs w:val="24"/>
        </w:rPr>
        <w:t>11.3</w:t>
      </w:r>
      <w:proofErr w:type="gramEnd"/>
      <w:r w:rsidRPr="00083676">
        <w:rPr>
          <w:rFonts w:ascii="Times New Roman" w:hAnsi="Times New Roman" w:cs="Times New Roman"/>
          <w:sz w:val="24"/>
          <w:szCs w:val="24"/>
        </w:rPr>
        <w:t>%) postoperative diabetes insipitus was observed and managed by medical treatment.</w:t>
      </w:r>
    </w:p>
    <w:p w:rsidR="007A1BBF" w:rsidRPr="00083676" w:rsidRDefault="007A1BBF" w:rsidP="007A1BBF">
      <w:pPr>
        <w:tabs>
          <w:tab w:val="left" w:pos="360"/>
        </w:tabs>
        <w:autoSpaceDE w:val="0"/>
        <w:autoSpaceDN w:val="0"/>
        <w:adjustRightInd w:val="0"/>
        <w:spacing w:line="360" w:lineRule="auto"/>
        <w:ind w:left="708" w:firstLine="709"/>
        <w:jc w:val="both"/>
        <w:rPr>
          <w:rFonts w:ascii="Times New Roman" w:hAnsi="Times New Roman" w:cs="Times New Roman"/>
          <w:sz w:val="24"/>
          <w:szCs w:val="24"/>
        </w:rPr>
      </w:pPr>
    </w:p>
    <w:p w:rsidR="007A1BBF" w:rsidRPr="00083676" w:rsidRDefault="007A1BBF" w:rsidP="007A1BBF">
      <w:pPr>
        <w:spacing w:line="360" w:lineRule="auto"/>
        <w:ind w:left="708"/>
        <w:jc w:val="both"/>
        <w:rPr>
          <w:rFonts w:ascii="Times New Roman" w:hAnsi="Times New Roman" w:cs="Times New Roman"/>
          <w:sz w:val="24"/>
          <w:szCs w:val="24"/>
        </w:rPr>
      </w:pPr>
    </w:p>
    <w:p w:rsidR="007A1BBF" w:rsidRPr="00083676" w:rsidRDefault="007A1BBF" w:rsidP="007A1BBF">
      <w:pPr>
        <w:spacing w:line="360" w:lineRule="auto"/>
        <w:ind w:left="708"/>
        <w:jc w:val="both"/>
        <w:rPr>
          <w:rFonts w:ascii="Times New Roman" w:hAnsi="Times New Roman" w:cs="Times New Roman"/>
          <w:sz w:val="24"/>
          <w:szCs w:val="24"/>
        </w:rPr>
      </w:pPr>
      <w:r w:rsidRPr="00083676">
        <w:rPr>
          <w:rFonts w:ascii="Times New Roman" w:hAnsi="Times New Roman" w:cs="Times New Roman"/>
          <w:sz w:val="24"/>
          <w:szCs w:val="24"/>
        </w:rPr>
        <w:t>DISCUSSION:</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Pituitary adenomas are divided into two categories. They can be secretory (hormonally active) or non-secretory (hormonally inactive). The hormonally inactive pituitary adenomas require surgery when they cause mass effect causing a hypo pituitary event, vision changes, pituitary apoplexia (hemorrhage into the adenoma itself) or severe headaches</w:t>
      </w:r>
      <w:r>
        <w:rPr>
          <w:rFonts w:ascii="Times New Roman" w:eastAsia="Times New Roman" w:hAnsi="Times New Roman" w:cs="Times New Roman"/>
          <w:sz w:val="24"/>
          <w:szCs w:val="24"/>
          <w:lang w:eastAsia="tr-TR"/>
        </w:rPr>
        <w:t xml:space="preserve"> (7)</w:t>
      </w:r>
      <w:r w:rsidRPr="00083676">
        <w:rPr>
          <w:rFonts w:ascii="Times New Roman" w:eastAsia="Times New Roman" w:hAnsi="Times New Roman" w:cs="Times New Roman"/>
          <w:sz w:val="24"/>
          <w:szCs w:val="24"/>
          <w:lang w:eastAsia="tr-TR"/>
        </w:rPr>
        <w:t>.</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lastRenderedPageBreak/>
        <w:t>Hormonally active pituitary adenomas include prolactinomas which are first treated medically with a dopamine agonist such as bromocrip</w:t>
      </w:r>
      <w:r>
        <w:rPr>
          <w:rFonts w:ascii="Times New Roman" w:eastAsia="Times New Roman" w:hAnsi="Times New Roman" w:cs="Times New Roman"/>
          <w:sz w:val="24"/>
          <w:szCs w:val="24"/>
          <w:lang w:eastAsia="tr-TR"/>
        </w:rPr>
        <w:t>tine. In acromegaly and Cushing’s disease (21)</w:t>
      </w:r>
      <w:r w:rsidRPr="00083676">
        <w:rPr>
          <w:rFonts w:ascii="Times New Roman" w:eastAsia="Times New Roman" w:hAnsi="Times New Roman" w:cs="Times New Roman"/>
          <w:sz w:val="24"/>
          <w:szCs w:val="24"/>
          <w:lang w:eastAsia="tr-TR"/>
        </w:rPr>
        <w:t>, surgery can be offered as primary therapy; however, there are several different medical therapies that can be used to treat these conditions, such as somatostatin analogs and octreotide for acromegaly</w:t>
      </w:r>
      <w:r>
        <w:rPr>
          <w:rFonts w:ascii="Times New Roman" w:eastAsia="Times New Roman" w:hAnsi="Times New Roman" w:cs="Times New Roman"/>
          <w:sz w:val="24"/>
          <w:szCs w:val="24"/>
          <w:lang w:eastAsia="tr-TR"/>
        </w:rPr>
        <w:t xml:space="preserve"> (12)</w:t>
      </w:r>
      <w:r w:rsidRPr="00083676">
        <w:rPr>
          <w:rFonts w:ascii="Times New Roman" w:eastAsia="Times New Roman" w:hAnsi="Times New Roman" w:cs="Times New Roman"/>
          <w:sz w:val="24"/>
          <w:szCs w:val="24"/>
          <w:lang w:eastAsia="tr-TR"/>
        </w:rPr>
        <w:t xml:space="preserve">. </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Pre-operative planning involves a multi-disciplinary approach including several different specialties: an otolaryngologist, an ophthalmologist, a neurosurgeon, an endocrinologist and potentially a radiation oncologist</w:t>
      </w:r>
      <w:r>
        <w:rPr>
          <w:rFonts w:ascii="Times New Roman" w:eastAsia="Times New Roman" w:hAnsi="Times New Roman" w:cs="Times New Roman"/>
          <w:sz w:val="24"/>
          <w:szCs w:val="24"/>
          <w:lang w:eastAsia="tr-TR"/>
        </w:rPr>
        <w:t xml:space="preserve"> (5,17)</w:t>
      </w:r>
      <w:r w:rsidRPr="00083676">
        <w:rPr>
          <w:rFonts w:ascii="Times New Roman" w:eastAsia="Times New Roman" w:hAnsi="Times New Roman" w:cs="Times New Roman"/>
          <w:sz w:val="24"/>
          <w:szCs w:val="24"/>
          <w:lang w:eastAsia="tr-TR"/>
        </w:rPr>
        <w:t>.</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The otolaryngologic evaluation includes a complete history, a thorough head and neck examination particularly focusing on flexible endoscopic evaluation of the sinonasal anatomy. It is important to note whether or not the patient will need a septoplasty prior to surgery. Ophthalmological evaluation is very important, not only for visual acuity, but more importantly for documentation of visual fields. It is important to document this, so that it may compared with the post-operative visual field testing to see if there is any improvement or deterioration of the patient’s vision.</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It is also important to review the pre-operative imaging and note locations of the carotid canal and optic canal and evaluate pneumatization of the sphenoid</w:t>
      </w:r>
      <w:r>
        <w:rPr>
          <w:rFonts w:ascii="Times New Roman" w:eastAsia="Times New Roman" w:hAnsi="Times New Roman" w:cs="Times New Roman"/>
          <w:sz w:val="24"/>
          <w:szCs w:val="24"/>
          <w:lang w:eastAsia="tr-TR"/>
        </w:rPr>
        <w:t xml:space="preserve"> (3,16)</w:t>
      </w:r>
      <w:r w:rsidRPr="00083676">
        <w:rPr>
          <w:rFonts w:ascii="Times New Roman" w:eastAsia="Times New Roman" w:hAnsi="Times New Roman" w:cs="Times New Roman"/>
          <w:sz w:val="24"/>
          <w:szCs w:val="24"/>
          <w:lang w:eastAsia="tr-TR"/>
        </w:rPr>
        <w:t xml:space="preserve">. Most of the studies mention that preoperative planning of the surgery should be performed with Hardy and Vezina classification. We believe that Knosp classification is also as important as Hardy-Vezina classification. The lateral extension of the adenoma should be </w:t>
      </w:r>
      <w:proofErr w:type="gramStart"/>
      <w:r w:rsidRPr="00083676">
        <w:rPr>
          <w:rFonts w:ascii="Times New Roman" w:eastAsia="Times New Roman" w:hAnsi="Times New Roman" w:cs="Times New Roman"/>
          <w:sz w:val="24"/>
          <w:szCs w:val="24"/>
          <w:lang w:eastAsia="tr-TR"/>
        </w:rPr>
        <w:t>visualized.The</w:t>
      </w:r>
      <w:proofErr w:type="gramEnd"/>
      <w:r w:rsidRPr="00083676">
        <w:rPr>
          <w:rFonts w:ascii="Times New Roman" w:eastAsia="Times New Roman" w:hAnsi="Times New Roman" w:cs="Times New Roman"/>
          <w:sz w:val="24"/>
          <w:szCs w:val="24"/>
          <w:lang w:eastAsia="tr-TR"/>
        </w:rPr>
        <w:t xml:space="preserve"> relationship of the adenoma with internal carotid artery is a major definitive factor for the success of the surgery.</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The sphenoid sinus develops from pneumatization of the sphenoid bone, which occurs rapidly between the ages of 5 and 7. The process is complete usually by age 20. The roof of the sphenoid is formed by the planum sphenoidale anteriorly and the sella posteriorly. The lateral walls of the sphenoid contain several very important structures. These include the Vidian canal that runs laterally along the floor as well as the carotid arteries within the carotid canal latero-inferior, and the optic canal latero- superior. One of the important landmarks that must be found endoscopically is the sphenoid ostium</w:t>
      </w:r>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1,3,16</w:t>
      </w:r>
      <w:proofErr w:type="gramEnd"/>
      <w:r>
        <w:rPr>
          <w:rFonts w:ascii="Times New Roman" w:eastAsia="Times New Roman" w:hAnsi="Times New Roman" w:cs="Times New Roman"/>
          <w:sz w:val="24"/>
          <w:szCs w:val="24"/>
          <w:lang w:eastAsia="tr-TR"/>
        </w:rPr>
        <w:t>)</w:t>
      </w:r>
      <w:r w:rsidRPr="00083676">
        <w:rPr>
          <w:rFonts w:ascii="Times New Roman" w:eastAsia="Times New Roman" w:hAnsi="Times New Roman" w:cs="Times New Roman"/>
          <w:sz w:val="24"/>
          <w:szCs w:val="24"/>
          <w:lang w:eastAsia="tr-TR"/>
        </w:rPr>
        <w:t xml:space="preserve">. This is located medial to the superior turbinate and lateral to the septum. After sphenoidotomy and posterior septectomy as well as resection of the </w:t>
      </w:r>
      <w:r w:rsidRPr="00083676">
        <w:rPr>
          <w:rFonts w:ascii="Times New Roman" w:eastAsia="Times New Roman" w:hAnsi="Times New Roman" w:cs="Times New Roman"/>
          <w:sz w:val="24"/>
          <w:szCs w:val="24"/>
          <w:lang w:eastAsia="tr-TR"/>
        </w:rPr>
        <w:lastRenderedPageBreak/>
        <w:t xml:space="preserve">sphenoid septum, there are several structures that will come into view. First is the sella, which is a protuberance seen in the midline. The planum sphenoidale is located anteriorly and the clivus posteriorly. At 5 and 7 o’clock the carotid artery, carotid canal and the optic nerve and optic canal can be visualised. In between the two there is a triangular shaped </w:t>
      </w:r>
      <w:proofErr w:type="gramStart"/>
      <w:r w:rsidRPr="00083676">
        <w:rPr>
          <w:rFonts w:ascii="Times New Roman" w:eastAsia="Times New Roman" w:hAnsi="Times New Roman" w:cs="Times New Roman"/>
          <w:sz w:val="24"/>
          <w:szCs w:val="24"/>
          <w:lang w:eastAsia="tr-TR"/>
        </w:rPr>
        <w:t>fossa</w:t>
      </w:r>
      <w:proofErr w:type="gramEnd"/>
      <w:r w:rsidRPr="00083676">
        <w:rPr>
          <w:rFonts w:ascii="Times New Roman" w:eastAsia="Times New Roman" w:hAnsi="Times New Roman" w:cs="Times New Roman"/>
          <w:sz w:val="24"/>
          <w:szCs w:val="24"/>
          <w:lang w:eastAsia="tr-TR"/>
        </w:rPr>
        <w:t>, called the carotico-optic recess. It is important to identify this structure because the ophthalmic artery that arises medially off the carotid is associated with this space</w:t>
      </w:r>
      <w:r>
        <w:rPr>
          <w:rFonts w:ascii="Times New Roman" w:eastAsia="Times New Roman" w:hAnsi="Times New Roman" w:cs="Times New Roman"/>
          <w:sz w:val="24"/>
          <w:szCs w:val="24"/>
          <w:lang w:eastAsia="tr-TR"/>
        </w:rPr>
        <w:t xml:space="preserve"> (16)</w:t>
      </w:r>
      <w:r w:rsidRPr="00083676">
        <w:rPr>
          <w:rFonts w:ascii="Times New Roman" w:eastAsia="Times New Roman" w:hAnsi="Times New Roman" w:cs="Times New Roman"/>
          <w:sz w:val="24"/>
          <w:szCs w:val="24"/>
          <w:lang w:eastAsia="tr-TR"/>
        </w:rPr>
        <w:t>.</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 xml:space="preserve">Post-operatively, it is important to watch these patients in the ICU for at least the first night with routine neurological checks and monitoring of urine output. It is important to monitor for diabetes insipidus, which can occur immediately post-operatively in up to 20 to 60% of patients. Antibiotics are routinely administered; however, there is just no good </w:t>
      </w:r>
      <w:proofErr w:type="gramStart"/>
      <w:r w:rsidRPr="00083676">
        <w:rPr>
          <w:rFonts w:ascii="Times New Roman" w:eastAsia="Times New Roman" w:hAnsi="Times New Roman" w:cs="Times New Roman"/>
          <w:sz w:val="24"/>
          <w:szCs w:val="24"/>
          <w:lang w:eastAsia="tr-TR"/>
        </w:rPr>
        <w:t>data</w:t>
      </w:r>
      <w:proofErr w:type="gramEnd"/>
      <w:r w:rsidRPr="00083676">
        <w:rPr>
          <w:rFonts w:ascii="Times New Roman" w:eastAsia="Times New Roman" w:hAnsi="Times New Roman" w:cs="Times New Roman"/>
          <w:sz w:val="24"/>
          <w:szCs w:val="24"/>
          <w:lang w:eastAsia="tr-TR"/>
        </w:rPr>
        <w:t xml:space="preserve"> out there to support a specific antibiotic, and it often depends on the surgeon. Steroids are routinely given with a stress dose prior to surgery and continued steroid administration post-operatively. Hormone replacement is administered as necessary by the endocrinologist.</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 xml:space="preserve">Senior </w:t>
      </w:r>
      <w:r w:rsidRPr="00BA1A18">
        <w:rPr>
          <w:rFonts w:ascii="Times New Roman" w:eastAsia="Times New Roman" w:hAnsi="Times New Roman" w:cs="Times New Roman"/>
          <w:iCs/>
          <w:sz w:val="24"/>
          <w:szCs w:val="24"/>
          <w:lang w:eastAsia="tr-TR"/>
        </w:rPr>
        <w:t>et al</w:t>
      </w:r>
      <w:r>
        <w:rPr>
          <w:rFonts w:ascii="Times New Roman" w:eastAsia="Times New Roman" w:hAnsi="Times New Roman" w:cs="Times New Roman"/>
          <w:sz w:val="24"/>
          <w:szCs w:val="24"/>
          <w:lang w:eastAsia="tr-TR"/>
        </w:rPr>
        <w:t xml:space="preserve">(19) </w:t>
      </w:r>
      <w:r w:rsidRPr="00083676">
        <w:rPr>
          <w:rFonts w:ascii="Times New Roman" w:eastAsia="Times New Roman" w:hAnsi="Times New Roman" w:cs="Times New Roman"/>
          <w:sz w:val="24"/>
          <w:szCs w:val="24"/>
          <w:lang w:eastAsia="tr-TR"/>
        </w:rPr>
        <w:t xml:space="preserve">performed 193 surgeries from March 2000 to 2007. His tumor sizes were divided between 0 to10mm, 11 to 20mm, and greater than 21mm, which were the majority of his tumors. The secreting adenomas accounted for 30% of the surgeries, where the non-secreting adenomas were 54%. Mean post-operative stay for this study was </w:t>
      </w:r>
      <w:proofErr w:type="gramStart"/>
      <w:r w:rsidRPr="00083676">
        <w:rPr>
          <w:rFonts w:ascii="Times New Roman" w:eastAsia="Times New Roman" w:hAnsi="Times New Roman" w:cs="Times New Roman"/>
          <w:sz w:val="24"/>
          <w:szCs w:val="24"/>
          <w:lang w:eastAsia="tr-TR"/>
        </w:rPr>
        <w:t>3.6</w:t>
      </w:r>
      <w:proofErr w:type="gramEnd"/>
      <w:r w:rsidRPr="00083676">
        <w:rPr>
          <w:rFonts w:ascii="Times New Roman" w:eastAsia="Times New Roman" w:hAnsi="Times New Roman" w:cs="Times New Roman"/>
          <w:sz w:val="24"/>
          <w:szCs w:val="24"/>
          <w:lang w:eastAsia="tr-TR"/>
        </w:rPr>
        <w:t xml:space="preserve"> days. Complications again, were acceptable, with 1% rate of meningitis, and 1 mortality in the group. However, his post-operative CSF leak was higher than that reported in the literature, reaching as high as 10%.</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 xml:space="preserve">Cappabianca et al </w:t>
      </w:r>
      <w:r>
        <w:rPr>
          <w:rFonts w:ascii="Times New Roman" w:eastAsia="Times New Roman" w:hAnsi="Times New Roman" w:cs="Times New Roman"/>
          <w:sz w:val="24"/>
          <w:szCs w:val="24"/>
          <w:lang w:eastAsia="tr-TR"/>
        </w:rPr>
        <w:t xml:space="preserve">(4) </w:t>
      </w:r>
      <w:r w:rsidRPr="00083676">
        <w:rPr>
          <w:rFonts w:ascii="Times New Roman" w:eastAsia="Times New Roman" w:hAnsi="Times New Roman" w:cs="Times New Roman"/>
          <w:sz w:val="24"/>
          <w:szCs w:val="24"/>
          <w:lang w:eastAsia="tr-TR"/>
        </w:rPr>
        <w:t xml:space="preserve">reported 146 consecutively treated patients who underwent an endoscopic endonasal transsphenoidal approach to the sellar region for resection of pituitary adenomas and the surgical complication rate was </w:t>
      </w:r>
      <w:proofErr w:type="gramStart"/>
      <w:r w:rsidRPr="00083676">
        <w:rPr>
          <w:rFonts w:ascii="Times New Roman" w:eastAsia="Times New Roman" w:hAnsi="Times New Roman" w:cs="Times New Roman"/>
          <w:sz w:val="24"/>
          <w:szCs w:val="24"/>
          <w:lang w:eastAsia="tr-TR"/>
        </w:rPr>
        <w:t>8.9</w:t>
      </w:r>
      <w:proofErr w:type="gramEnd"/>
      <w:r w:rsidRPr="00083676">
        <w:rPr>
          <w:rFonts w:ascii="Times New Roman" w:eastAsia="Times New Roman" w:hAnsi="Times New Roman" w:cs="Times New Roman"/>
          <w:sz w:val="24"/>
          <w:szCs w:val="24"/>
          <w:lang w:eastAsia="tr-TR"/>
        </w:rPr>
        <w:t xml:space="preserve">%. </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 xml:space="preserve">In the literature the overall surgical complication is between </w:t>
      </w:r>
      <w:proofErr w:type="gramStart"/>
      <w:r w:rsidRPr="00083676">
        <w:rPr>
          <w:rFonts w:ascii="Times New Roman" w:eastAsia="Times New Roman" w:hAnsi="Times New Roman" w:cs="Times New Roman"/>
          <w:sz w:val="24"/>
          <w:szCs w:val="24"/>
          <w:lang w:eastAsia="tr-TR"/>
        </w:rPr>
        <w:t>8.9</w:t>
      </w:r>
      <w:proofErr w:type="gramEnd"/>
      <w:r w:rsidRPr="00083676">
        <w:rPr>
          <w:rFonts w:ascii="Times New Roman" w:eastAsia="Times New Roman" w:hAnsi="Times New Roman" w:cs="Times New Roman"/>
          <w:sz w:val="24"/>
          <w:szCs w:val="24"/>
          <w:lang w:eastAsia="tr-TR"/>
        </w:rPr>
        <w:t>%-32.5%</w:t>
      </w:r>
      <w:r>
        <w:rPr>
          <w:rFonts w:ascii="Times New Roman" w:eastAsia="Times New Roman" w:hAnsi="Times New Roman" w:cs="Times New Roman"/>
          <w:sz w:val="24"/>
          <w:szCs w:val="24"/>
          <w:lang w:eastAsia="tr-TR"/>
        </w:rPr>
        <w:t xml:space="preserve"> (10,18,20)</w:t>
      </w:r>
      <w:r w:rsidRPr="00083676">
        <w:rPr>
          <w:rFonts w:ascii="Times New Roman" w:eastAsia="Times New Roman" w:hAnsi="Times New Roman" w:cs="Times New Roman"/>
          <w:sz w:val="24"/>
          <w:szCs w:val="24"/>
          <w:lang w:eastAsia="tr-TR"/>
        </w:rPr>
        <w:t xml:space="preserve">. In this study </w:t>
      </w:r>
      <w:r>
        <w:rPr>
          <w:rFonts w:ascii="Times New Roman" w:eastAsia="Times New Roman" w:hAnsi="Times New Roman" w:cs="Times New Roman"/>
          <w:sz w:val="24"/>
          <w:szCs w:val="24"/>
          <w:lang w:eastAsia="tr-TR"/>
        </w:rPr>
        <w:t>the surgical complication rate wa</w:t>
      </w:r>
      <w:r w:rsidRPr="00083676">
        <w:rPr>
          <w:rFonts w:ascii="Times New Roman" w:eastAsia="Times New Roman" w:hAnsi="Times New Roman" w:cs="Times New Roman"/>
          <w:sz w:val="24"/>
          <w:szCs w:val="24"/>
          <w:lang w:eastAsia="tr-TR"/>
        </w:rPr>
        <w:t>s 3.75%.</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 xml:space="preserve">White </w:t>
      </w:r>
      <w:r w:rsidRPr="00BA1A18">
        <w:rPr>
          <w:rFonts w:ascii="Times New Roman" w:eastAsia="Times New Roman" w:hAnsi="Times New Roman" w:cs="Times New Roman"/>
          <w:iCs/>
          <w:sz w:val="24"/>
          <w:szCs w:val="24"/>
          <w:lang w:eastAsia="tr-TR"/>
        </w:rPr>
        <w:t>et al (22)</w:t>
      </w:r>
      <w:r w:rsidRPr="00BA1A18">
        <w:rPr>
          <w:rFonts w:ascii="Times New Roman" w:eastAsia="Times New Roman" w:hAnsi="Times New Roman" w:cs="Times New Roman"/>
          <w:sz w:val="24"/>
          <w:szCs w:val="24"/>
          <w:lang w:eastAsia="tr-TR"/>
        </w:rPr>
        <w:t>,</w:t>
      </w:r>
      <w:r w:rsidRPr="00083676">
        <w:rPr>
          <w:rFonts w:ascii="Times New Roman" w:eastAsia="Times New Roman" w:hAnsi="Times New Roman" w:cs="Times New Roman"/>
          <w:sz w:val="24"/>
          <w:szCs w:val="24"/>
          <w:lang w:eastAsia="tr-TR"/>
        </w:rPr>
        <w:t xml:space="preserve"> 50 patients undergoing sublabial transseptal transsphenoidal surgery performed from 1996 to 1999, as well as 50 patients undergoing endoscopic surgery from 2000 and 2002 were compared. There was no difference in the intra-</w:t>
      </w:r>
      <w:r w:rsidRPr="00083676">
        <w:rPr>
          <w:rFonts w:ascii="Times New Roman" w:eastAsia="Times New Roman" w:hAnsi="Times New Roman" w:cs="Times New Roman"/>
          <w:sz w:val="24"/>
          <w:szCs w:val="24"/>
          <w:lang w:eastAsia="tr-TR"/>
        </w:rPr>
        <w:lastRenderedPageBreak/>
        <w:t>operative blood loss and the incidence of diabetes insipidus between the two groups. But they showed that endonasal complications,  were much lower in the endoscopic group as compared to the sublabial group.</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Chiasmatic decompression is t</w:t>
      </w:r>
      <w:r w:rsidRPr="00083676">
        <w:rPr>
          <w:rFonts w:ascii="Times New Roman" w:eastAsia="Times New Roman" w:hAnsi="Times New Roman" w:cs="Times New Roman"/>
          <w:sz w:val="24"/>
          <w:szCs w:val="24"/>
          <w:lang w:eastAsia="tr-TR"/>
        </w:rPr>
        <w:t xml:space="preserve">he primary objective of transsphenoidal hypophysectomy for macroadenoma compressing the optic chiasm. Approximately 5–14% of macroadenomas are </w:t>
      </w:r>
      <w:r>
        <w:rPr>
          <w:rFonts w:ascii="Times New Roman" w:eastAsia="Times New Roman" w:hAnsi="Times New Roman" w:cs="Times New Roman"/>
          <w:sz w:val="24"/>
          <w:szCs w:val="24"/>
          <w:lang w:eastAsia="tr-TR"/>
        </w:rPr>
        <w:t xml:space="preserve">inadequately identified </w:t>
      </w:r>
      <w:r w:rsidRPr="00083676">
        <w:rPr>
          <w:rFonts w:ascii="Times New Roman" w:eastAsia="Times New Roman" w:hAnsi="Times New Roman" w:cs="Times New Roman"/>
          <w:sz w:val="24"/>
          <w:szCs w:val="24"/>
          <w:lang w:eastAsia="tr-TR"/>
        </w:rPr>
        <w:t xml:space="preserve">during surgery </w:t>
      </w:r>
      <w:r>
        <w:rPr>
          <w:rFonts w:ascii="Times New Roman" w:eastAsia="Times New Roman" w:hAnsi="Times New Roman" w:cs="Times New Roman"/>
          <w:sz w:val="24"/>
          <w:szCs w:val="24"/>
          <w:lang w:eastAsia="tr-TR"/>
        </w:rPr>
        <w:t xml:space="preserve">because of </w:t>
      </w:r>
      <w:r w:rsidRPr="00083676">
        <w:rPr>
          <w:rFonts w:ascii="Times New Roman" w:eastAsia="Times New Roman" w:hAnsi="Times New Roman" w:cs="Times New Roman"/>
          <w:sz w:val="24"/>
          <w:szCs w:val="24"/>
          <w:lang w:eastAsia="tr-TR"/>
        </w:rPr>
        <w:t xml:space="preserve">ﬁrm, nonpliable, ﬁbrous lesions that are </w:t>
      </w:r>
      <w:r>
        <w:rPr>
          <w:rFonts w:ascii="Times New Roman" w:eastAsia="Times New Roman" w:hAnsi="Times New Roman" w:cs="Times New Roman"/>
          <w:sz w:val="24"/>
          <w:szCs w:val="24"/>
          <w:lang w:eastAsia="tr-TR"/>
        </w:rPr>
        <w:t xml:space="preserve">not easy to remove by suction and </w:t>
      </w:r>
      <w:proofErr w:type="gramStart"/>
      <w:r>
        <w:rPr>
          <w:rFonts w:ascii="Times New Roman" w:eastAsia="Times New Roman" w:hAnsi="Times New Roman" w:cs="Times New Roman"/>
          <w:sz w:val="24"/>
          <w:szCs w:val="24"/>
          <w:lang w:eastAsia="tr-TR"/>
        </w:rPr>
        <w:t>curretage.For</w:t>
      </w:r>
      <w:proofErr w:type="gramEnd"/>
      <w:r>
        <w:rPr>
          <w:rFonts w:ascii="Times New Roman" w:eastAsia="Times New Roman" w:hAnsi="Times New Roman" w:cs="Times New Roman"/>
          <w:sz w:val="24"/>
          <w:szCs w:val="24"/>
          <w:lang w:eastAsia="tr-TR"/>
        </w:rPr>
        <w:t xml:space="preserve"> residual secreting tumor, residual chiasm compression and cavernous sinus invasion, </w:t>
      </w:r>
      <w:r w:rsidRPr="00083676">
        <w:rPr>
          <w:rFonts w:ascii="Times New Roman" w:eastAsia="Times New Roman" w:hAnsi="Times New Roman" w:cs="Times New Roman"/>
          <w:sz w:val="24"/>
          <w:szCs w:val="24"/>
          <w:lang w:eastAsia="tr-TR"/>
        </w:rPr>
        <w:t>gamma knife radiosurg</w:t>
      </w:r>
      <w:r>
        <w:rPr>
          <w:rFonts w:ascii="Times New Roman" w:eastAsia="Times New Roman" w:hAnsi="Times New Roman" w:cs="Times New Roman"/>
          <w:sz w:val="24"/>
          <w:szCs w:val="24"/>
          <w:lang w:eastAsia="tr-TR"/>
        </w:rPr>
        <w:t>ery may be an adjunct treatment, but transcranial surgery may be needed for adequate chiasmatic decompression and tumor debulking.MRI f</w:t>
      </w:r>
      <w:r w:rsidRPr="00083676">
        <w:rPr>
          <w:rFonts w:ascii="Times New Roman" w:eastAsia="Times New Roman" w:hAnsi="Times New Roman" w:cs="Times New Roman"/>
          <w:sz w:val="24"/>
          <w:szCs w:val="24"/>
          <w:lang w:eastAsia="tr-TR"/>
        </w:rPr>
        <w:t>indings  before transsphenoidal hypophysectomy related to the structural integrity of the</w:t>
      </w:r>
      <w:r>
        <w:rPr>
          <w:rFonts w:ascii="Times New Roman" w:eastAsia="Times New Roman" w:hAnsi="Times New Roman" w:cs="Times New Roman"/>
          <w:sz w:val="24"/>
          <w:szCs w:val="24"/>
          <w:lang w:eastAsia="tr-TR"/>
        </w:rPr>
        <w:t xml:space="preserve"> tumor are useful for providing</w:t>
      </w:r>
      <w:r w:rsidRPr="00083676">
        <w:rPr>
          <w:rFonts w:ascii="Times New Roman" w:eastAsia="Times New Roman" w:hAnsi="Times New Roman" w:cs="Times New Roman"/>
          <w:sz w:val="24"/>
          <w:szCs w:val="24"/>
          <w:lang w:eastAsia="tr-TR"/>
        </w:rPr>
        <w:t xml:space="preserve"> successful chiasmatic decompression of macroadenoma</w:t>
      </w:r>
      <w:r>
        <w:rPr>
          <w:rFonts w:ascii="Times New Roman" w:eastAsia="Times New Roman" w:hAnsi="Times New Roman" w:cs="Times New Roman"/>
          <w:sz w:val="24"/>
          <w:szCs w:val="24"/>
          <w:lang w:eastAsia="tr-TR"/>
        </w:rPr>
        <w:t xml:space="preserve"> (2)</w:t>
      </w:r>
      <w:r w:rsidRPr="00083676">
        <w:rPr>
          <w:rFonts w:ascii="Times New Roman" w:eastAsia="Times New Roman" w:hAnsi="Times New Roman" w:cs="Times New Roman"/>
          <w:sz w:val="24"/>
          <w:szCs w:val="24"/>
          <w:lang w:eastAsia="tr-TR"/>
        </w:rPr>
        <w:t>.</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Th</w:t>
      </w:r>
      <w:r>
        <w:rPr>
          <w:rFonts w:ascii="Times New Roman" w:eastAsia="Times New Roman" w:hAnsi="Times New Roman" w:cs="Times New Roman"/>
          <w:sz w:val="24"/>
          <w:szCs w:val="24"/>
          <w:lang w:eastAsia="tr-TR"/>
        </w:rPr>
        <w:t>e mortality rate due</w:t>
      </w:r>
      <w:r w:rsidRPr="00083676">
        <w:rPr>
          <w:rFonts w:ascii="Times New Roman" w:eastAsia="Times New Roman" w:hAnsi="Times New Roman" w:cs="Times New Roman"/>
          <w:sz w:val="24"/>
          <w:szCs w:val="24"/>
          <w:lang w:eastAsia="tr-TR"/>
        </w:rPr>
        <w:t xml:space="preserve"> to pituitary tumours is low. </w:t>
      </w:r>
      <w:r>
        <w:rPr>
          <w:rFonts w:ascii="Times New Roman" w:eastAsia="Times New Roman" w:hAnsi="Times New Roman" w:cs="Times New Roman"/>
          <w:sz w:val="24"/>
          <w:szCs w:val="24"/>
          <w:lang w:eastAsia="tr-TR"/>
        </w:rPr>
        <w:t>S</w:t>
      </w:r>
      <w:r w:rsidRPr="00083676">
        <w:rPr>
          <w:rFonts w:ascii="Times New Roman" w:eastAsia="Times New Roman" w:hAnsi="Times New Roman" w:cs="Times New Roman"/>
          <w:sz w:val="24"/>
          <w:szCs w:val="24"/>
          <w:lang w:eastAsia="tr-TR"/>
        </w:rPr>
        <w:t>up</w:t>
      </w:r>
      <w:r>
        <w:rPr>
          <w:rFonts w:ascii="Times New Roman" w:eastAsia="Times New Roman" w:hAnsi="Times New Roman" w:cs="Times New Roman"/>
          <w:sz w:val="24"/>
          <w:szCs w:val="24"/>
          <w:lang w:eastAsia="tr-TR"/>
        </w:rPr>
        <w:t>rasellar expansion of the macroadenoma</w:t>
      </w:r>
      <w:r w:rsidRPr="00083676">
        <w:rPr>
          <w:rFonts w:ascii="Times New Roman" w:eastAsia="Times New Roman" w:hAnsi="Times New Roman" w:cs="Times New Roman"/>
          <w:sz w:val="24"/>
          <w:szCs w:val="24"/>
          <w:lang w:eastAsia="tr-TR"/>
        </w:rPr>
        <w:t xml:space="preserve"> into the optic chiasm and the cranial nerves adjacent to the cavernous sinus </w:t>
      </w:r>
      <w:r>
        <w:rPr>
          <w:rFonts w:ascii="Times New Roman" w:eastAsia="Times New Roman" w:hAnsi="Times New Roman" w:cs="Times New Roman"/>
          <w:sz w:val="24"/>
          <w:szCs w:val="24"/>
          <w:lang w:eastAsia="tr-TR"/>
        </w:rPr>
        <w:t xml:space="preserve">are the main reasons for morbidity rate </w:t>
      </w:r>
      <w:r w:rsidRPr="00083676">
        <w:rPr>
          <w:rFonts w:ascii="Times New Roman" w:eastAsia="Times New Roman" w:hAnsi="Times New Roman" w:cs="Times New Roman"/>
          <w:sz w:val="24"/>
          <w:szCs w:val="24"/>
          <w:lang w:eastAsia="tr-TR"/>
        </w:rPr>
        <w:t>and permanent visual loss, opthalmoplegia, and other neurological complications</w:t>
      </w:r>
      <w:r>
        <w:rPr>
          <w:rFonts w:ascii="Times New Roman" w:eastAsia="Times New Roman" w:hAnsi="Times New Roman" w:cs="Times New Roman"/>
          <w:sz w:val="24"/>
          <w:szCs w:val="24"/>
          <w:lang w:eastAsia="tr-TR"/>
        </w:rPr>
        <w:t xml:space="preserve"> may occur</w:t>
      </w:r>
      <w:r w:rsidRPr="0008367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Lateral extension may cause p</w:t>
      </w:r>
      <w:r w:rsidRPr="00083676">
        <w:rPr>
          <w:rFonts w:ascii="Times New Roman" w:eastAsia="Times New Roman" w:hAnsi="Times New Roman" w:cs="Times New Roman"/>
          <w:sz w:val="24"/>
          <w:szCs w:val="24"/>
          <w:lang w:eastAsia="tr-TR"/>
        </w:rPr>
        <w:t xml:space="preserve">artial or complete engulfment of the </w:t>
      </w:r>
      <w:proofErr w:type="gramStart"/>
      <w:r w:rsidRPr="00083676">
        <w:rPr>
          <w:rFonts w:ascii="Times New Roman" w:eastAsia="Times New Roman" w:hAnsi="Times New Roman" w:cs="Times New Roman"/>
          <w:sz w:val="24"/>
          <w:szCs w:val="24"/>
          <w:lang w:eastAsia="tr-TR"/>
        </w:rPr>
        <w:t>carotids</w:t>
      </w:r>
      <w:r>
        <w:rPr>
          <w:rFonts w:ascii="Times New Roman" w:eastAsia="Times New Roman" w:hAnsi="Times New Roman" w:cs="Times New Roman"/>
          <w:sz w:val="24"/>
          <w:szCs w:val="24"/>
          <w:lang w:eastAsia="tr-TR"/>
        </w:rPr>
        <w:t>.</w:t>
      </w:r>
      <w:r w:rsidRPr="00083676">
        <w:rPr>
          <w:rFonts w:ascii="Times New Roman" w:eastAsia="Times New Roman" w:hAnsi="Times New Roman" w:cs="Times New Roman"/>
          <w:sz w:val="24"/>
          <w:szCs w:val="24"/>
          <w:lang w:eastAsia="tr-TR"/>
        </w:rPr>
        <w:t>For</w:t>
      </w:r>
      <w:proofErr w:type="gramEnd"/>
      <w:r w:rsidRPr="00083676">
        <w:rPr>
          <w:rFonts w:ascii="Times New Roman" w:eastAsia="Times New Roman" w:hAnsi="Times New Roman" w:cs="Times New Roman"/>
          <w:sz w:val="24"/>
          <w:szCs w:val="24"/>
          <w:lang w:eastAsia="tr-TR"/>
        </w:rPr>
        <w:t xml:space="preserve"> pituitary microadenomas the cure rate is greater than 50% on complete excision. </w:t>
      </w:r>
      <w:r>
        <w:rPr>
          <w:rFonts w:ascii="Times New Roman" w:eastAsia="Times New Roman" w:hAnsi="Times New Roman" w:cs="Times New Roman"/>
          <w:sz w:val="24"/>
          <w:szCs w:val="24"/>
          <w:lang w:eastAsia="tr-TR"/>
        </w:rPr>
        <w:t>Residual tendency is higher at t</w:t>
      </w:r>
      <w:r w:rsidRPr="00083676">
        <w:rPr>
          <w:rFonts w:ascii="Times New Roman" w:eastAsia="Times New Roman" w:hAnsi="Times New Roman" w:cs="Times New Roman"/>
          <w:sz w:val="24"/>
          <w:szCs w:val="24"/>
          <w:lang w:eastAsia="tr-TR"/>
        </w:rPr>
        <w:t>umour</w:t>
      </w:r>
      <w:r>
        <w:rPr>
          <w:rFonts w:ascii="Times New Roman" w:eastAsia="Times New Roman" w:hAnsi="Times New Roman" w:cs="Times New Roman"/>
          <w:sz w:val="24"/>
          <w:szCs w:val="24"/>
          <w:lang w:eastAsia="tr-TR"/>
        </w:rPr>
        <w:t>s</w:t>
      </w:r>
      <w:r w:rsidRPr="00083676">
        <w:rPr>
          <w:rFonts w:ascii="Times New Roman" w:eastAsia="Times New Roman" w:hAnsi="Times New Roman" w:cs="Times New Roman"/>
          <w:sz w:val="24"/>
          <w:szCs w:val="24"/>
          <w:lang w:eastAsia="tr-TR"/>
        </w:rPr>
        <w:t xml:space="preserve"> larger than 1 cm and may require additional treatment such as radiotherapy or radiosurgery.</w:t>
      </w:r>
      <w:r>
        <w:rPr>
          <w:rFonts w:ascii="Times New Roman" w:eastAsia="Times New Roman" w:hAnsi="Times New Roman" w:cs="Times New Roman"/>
          <w:sz w:val="24"/>
          <w:szCs w:val="24"/>
          <w:lang w:eastAsia="tr-TR"/>
        </w:rPr>
        <w:t xml:space="preserve"> Earlier studies report that</w:t>
      </w:r>
      <w:r w:rsidRPr="00083676">
        <w:rPr>
          <w:rFonts w:ascii="Times New Roman" w:eastAsia="Times New Roman" w:hAnsi="Times New Roman" w:cs="Times New Roman"/>
          <w:sz w:val="24"/>
          <w:szCs w:val="24"/>
          <w:lang w:eastAsia="tr-TR"/>
        </w:rPr>
        <w:t xml:space="preserve"> incidence of postoperative CSF leak </w:t>
      </w:r>
      <w:r>
        <w:rPr>
          <w:rFonts w:ascii="Times New Roman" w:eastAsia="Times New Roman" w:hAnsi="Times New Roman" w:cs="Times New Roman"/>
          <w:sz w:val="24"/>
          <w:szCs w:val="24"/>
          <w:lang w:eastAsia="tr-TR"/>
        </w:rPr>
        <w:t xml:space="preserve">is between </w:t>
      </w:r>
      <w:proofErr w:type="gramStart"/>
      <w:r>
        <w:rPr>
          <w:rFonts w:ascii="Times New Roman" w:eastAsia="Times New Roman" w:hAnsi="Times New Roman" w:cs="Times New Roman"/>
          <w:sz w:val="24"/>
          <w:szCs w:val="24"/>
          <w:lang w:eastAsia="tr-TR"/>
        </w:rPr>
        <w:t>1.5</w:t>
      </w:r>
      <w:proofErr w:type="gramEnd"/>
      <w:r>
        <w:rPr>
          <w:rFonts w:ascii="Times New Roman" w:eastAsia="Times New Roman" w:hAnsi="Times New Roman" w:cs="Times New Roman"/>
          <w:sz w:val="24"/>
          <w:szCs w:val="24"/>
          <w:lang w:eastAsia="tr-TR"/>
        </w:rPr>
        <w:t xml:space="preserve"> to 4.2% (9</w:t>
      </w:r>
      <w:r w:rsidRPr="0008367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Macroadenoma  has greater </w:t>
      </w:r>
      <w:r w:rsidRPr="00083676">
        <w:rPr>
          <w:rFonts w:ascii="Times New Roman" w:eastAsia="Times New Roman" w:hAnsi="Times New Roman" w:cs="Times New Roman"/>
          <w:sz w:val="24"/>
          <w:szCs w:val="24"/>
          <w:lang w:eastAsia="tr-TR"/>
        </w:rPr>
        <w:t xml:space="preserve"> CSF leak</w:t>
      </w:r>
      <w:r>
        <w:rPr>
          <w:rFonts w:ascii="Times New Roman" w:eastAsia="Times New Roman" w:hAnsi="Times New Roman" w:cs="Times New Roman"/>
          <w:sz w:val="24"/>
          <w:szCs w:val="24"/>
          <w:lang w:eastAsia="tr-TR"/>
        </w:rPr>
        <w:t xml:space="preserve">risk than microadenoma </w:t>
      </w:r>
      <w:proofErr w:type="gramStart"/>
      <w:r>
        <w:rPr>
          <w:rFonts w:ascii="Times New Roman" w:eastAsia="Times New Roman" w:hAnsi="Times New Roman" w:cs="Times New Roman"/>
          <w:sz w:val="24"/>
          <w:szCs w:val="24"/>
          <w:lang w:eastAsia="tr-TR"/>
        </w:rPr>
        <w:t>surgery.M</w:t>
      </w:r>
      <w:r w:rsidRPr="00083676">
        <w:rPr>
          <w:rFonts w:ascii="Times New Roman" w:eastAsia="Times New Roman" w:hAnsi="Times New Roman" w:cs="Times New Roman"/>
          <w:sz w:val="24"/>
          <w:szCs w:val="24"/>
          <w:lang w:eastAsia="tr-TR"/>
        </w:rPr>
        <w:t>ultilayered</w:t>
      </w:r>
      <w:proofErr w:type="gramEnd"/>
      <w:r w:rsidRPr="00083676">
        <w:rPr>
          <w:rFonts w:ascii="Times New Roman" w:eastAsia="Times New Roman" w:hAnsi="Times New Roman" w:cs="Times New Roman"/>
          <w:sz w:val="24"/>
          <w:szCs w:val="24"/>
          <w:lang w:eastAsia="tr-TR"/>
        </w:rPr>
        <w:t xml:space="preserve"> closure, direct suturing of gra</w:t>
      </w:r>
      <w:r w:rsidRPr="00083676">
        <w:rPr>
          <w:rFonts w:ascii="Arial Unicode MS" w:eastAsia="Times New Roman" w:hAnsi="Arial Unicode MS" w:cs="Arial Unicode MS"/>
          <w:sz w:val="24"/>
          <w:szCs w:val="24"/>
          <w:lang w:eastAsia="tr-TR"/>
        </w:rPr>
        <w:t>ﬅ</w:t>
      </w:r>
      <w:r w:rsidRPr="00083676">
        <w:rPr>
          <w:rFonts w:ascii="Times New Roman" w:eastAsia="Times New Roman" w:hAnsi="Times New Roman" w:cs="Times New Roman"/>
          <w:sz w:val="24"/>
          <w:szCs w:val="24"/>
          <w:lang w:eastAsia="tr-TR"/>
        </w:rPr>
        <w:t>s to dural edges, use of biological glues, and coverage with vascularized septal mucosal ﬂap decreased the incidence of postoperative CSF leaks</w:t>
      </w:r>
      <w:r>
        <w:rPr>
          <w:rFonts w:ascii="Times New Roman" w:eastAsia="Times New Roman" w:hAnsi="Times New Roman" w:cs="Times New Roman"/>
          <w:sz w:val="24"/>
          <w:szCs w:val="24"/>
          <w:lang w:eastAsia="tr-TR"/>
        </w:rPr>
        <w:t>(11,15)</w:t>
      </w:r>
      <w:r w:rsidRPr="00083676">
        <w:rPr>
          <w:rFonts w:ascii="Times New Roman" w:eastAsia="Times New Roman" w:hAnsi="Times New Roman" w:cs="Times New Roman"/>
          <w:sz w:val="24"/>
          <w:szCs w:val="24"/>
          <w:lang w:eastAsia="tr-TR"/>
        </w:rPr>
        <w:t>. We used pedicled nasal septal flap for reconstruction of the sellar base and we observed that CSF leakage rate is lower than the rates in the literature.</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Basically the advantages of truly endoscopic pituitary surgery are numerous. There is reduced operative time, superior illumination and magnification, diminished intra-operative blood loss, and enhanced differentiation between normal glandular tissue and tumor</w:t>
      </w:r>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7,13,17</w:t>
      </w:r>
      <w:proofErr w:type="gramEnd"/>
      <w:r>
        <w:rPr>
          <w:rFonts w:ascii="Times New Roman" w:eastAsia="Times New Roman" w:hAnsi="Times New Roman" w:cs="Times New Roman"/>
          <w:sz w:val="24"/>
          <w:szCs w:val="24"/>
          <w:lang w:eastAsia="tr-TR"/>
        </w:rPr>
        <w:t>)</w:t>
      </w:r>
      <w:r w:rsidRPr="00083676">
        <w:rPr>
          <w:rFonts w:ascii="Times New Roman" w:eastAsia="Times New Roman" w:hAnsi="Times New Roman" w:cs="Times New Roman"/>
          <w:sz w:val="24"/>
          <w:szCs w:val="24"/>
          <w:lang w:eastAsia="tr-TR"/>
        </w:rPr>
        <w:t>. There are less endonasal complications</w:t>
      </w:r>
      <w:r>
        <w:rPr>
          <w:rFonts w:ascii="Times New Roman" w:eastAsia="Times New Roman" w:hAnsi="Times New Roman" w:cs="Times New Roman"/>
          <w:sz w:val="24"/>
          <w:szCs w:val="24"/>
          <w:lang w:eastAsia="tr-TR"/>
        </w:rPr>
        <w:t>(14)</w:t>
      </w:r>
      <w:r w:rsidRPr="00083676">
        <w:rPr>
          <w:rFonts w:ascii="Times New Roman" w:eastAsia="Times New Roman" w:hAnsi="Times New Roman" w:cs="Times New Roman"/>
          <w:sz w:val="24"/>
          <w:szCs w:val="24"/>
          <w:lang w:eastAsia="tr-TR"/>
        </w:rPr>
        <w:t xml:space="preserve">, reduced hospital stays, better patient satisfaction, no postoperative nasal packing, and no risk </w:t>
      </w:r>
      <w:r w:rsidRPr="00083676">
        <w:rPr>
          <w:rFonts w:ascii="Times New Roman" w:eastAsia="Times New Roman" w:hAnsi="Times New Roman" w:cs="Times New Roman"/>
          <w:sz w:val="24"/>
          <w:szCs w:val="24"/>
          <w:lang w:eastAsia="tr-TR"/>
        </w:rPr>
        <w:lastRenderedPageBreak/>
        <w:t>for tooth numbness. There is also less risk for septal perforation without the submucosal bilateral dissection of the septum that is employed in the traditional approach</w:t>
      </w:r>
      <w:r>
        <w:rPr>
          <w:rFonts w:ascii="Times New Roman" w:eastAsia="Times New Roman" w:hAnsi="Times New Roman" w:cs="Times New Roman"/>
          <w:sz w:val="24"/>
          <w:szCs w:val="24"/>
          <w:lang w:eastAsia="tr-TR"/>
        </w:rPr>
        <w:t xml:space="preserve"> (14)</w:t>
      </w:r>
      <w:r w:rsidRPr="00083676">
        <w:rPr>
          <w:rFonts w:ascii="Times New Roman" w:eastAsia="Times New Roman" w:hAnsi="Times New Roman" w:cs="Times New Roman"/>
          <w:sz w:val="24"/>
          <w:szCs w:val="24"/>
          <w:lang w:eastAsia="tr-TR"/>
        </w:rPr>
        <w:t>.</w:t>
      </w:r>
    </w:p>
    <w:p w:rsidR="007A1BBF" w:rsidRPr="00083676"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4"/>
          <w:szCs w:val="24"/>
          <w:lang w:eastAsia="tr-TR"/>
        </w:rPr>
      </w:pPr>
    </w:p>
    <w:p w:rsidR="007A1BBF" w:rsidRPr="00083676" w:rsidRDefault="007A1BBF" w:rsidP="007A1BBF">
      <w:pPr>
        <w:shd w:val="clear" w:color="auto" w:fill="FFFFFF"/>
        <w:spacing w:before="100" w:beforeAutospacing="1" w:after="300" w:line="360" w:lineRule="auto"/>
        <w:ind w:left="708"/>
        <w:jc w:val="both"/>
        <w:rPr>
          <w:rFonts w:ascii="Times New Roman" w:eastAsia="Times New Roman" w:hAnsi="Times New Roman" w:cs="Times New Roman"/>
          <w:sz w:val="24"/>
          <w:szCs w:val="24"/>
          <w:lang w:eastAsia="tr-TR"/>
        </w:rPr>
      </w:pPr>
    </w:p>
    <w:p w:rsidR="007A1BBF" w:rsidRPr="00083676" w:rsidRDefault="007A1BBF" w:rsidP="007A1BBF">
      <w:pPr>
        <w:shd w:val="clear" w:color="auto" w:fill="FFFFFF"/>
        <w:spacing w:before="100" w:beforeAutospacing="1" w:after="300" w:line="360" w:lineRule="auto"/>
        <w:ind w:left="708"/>
        <w:jc w:val="both"/>
        <w:rPr>
          <w:rFonts w:ascii="Times New Roman" w:eastAsia="Times New Roman" w:hAnsi="Times New Roman" w:cs="Times New Roman"/>
          <w:sz w:val="24"/>
          <w:szCs w:val="24"/>
          <w:lang w:eastAsia="tr-TR"/>
        </w:rPr>
      </w:pPr>
      <w:r w:rsidRPr="00083676">
        <w:rPr>
          <w:rFonts w:ascii="Times New Roman" w:eastAsia="Times New Roman" w:hAnsi="Times New Roman" w:cs="Times New Roman"/>
          <w:sz w:val="24"/>
          <w:szCs w:val="24"/>
          <w:lang w:eastAsia="tr-TR"/>
        </w:rPr>
        <w:t>CONCLUSION:</w:t>
      </w:r>
    </w:p>
    <w:p w:rsidR="007A1BBF" w:rsidRDefault="007A1BBF" w:rsidP="007A1BBF">
      <w:pPr>
        <w:autoSpaceDE w:val="0"/>
        <w:autoSpaceDN w:val="0"/>
        <w:adjustRightInd w:val="0"/>
        <w:spacing w:line="360" w:lineRule="auto"/>
        <w:ind w:left="708"/>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4"/>
          <w:szCs w:val="24"/>
          <w:lang w:eastAsia="tr-TR"/>
        </w:rPr>
        <w:t>Purely</w:t>
      </w:r>
      <w:r w:rsidRPr="00083676">
        <w:rPr>
          <w:rFonts w:ascii="Times New Roman" w:eastAsia="Times New Roman" w:hAnsi="Times New Roman" w:cs="Times New Roman"/>
          <w:sz w:val="24"/>
          <w:szCs w:val="24"/>
          <w:lang w:eastAsia="tr-TR"/>
        </w:rPr>
        <w:t xml:space="preserve"> endoscop</w:t>
      </w:r>
      <w:r>
        <w:rPr>
          <w:rFonts w:ascii="Times New Roman" w:eastAsia="Times New Roman" w:hAnsi="Times New Roman" w:cs="Times New Roman"/>
          <w:sz w:val="24"/>
          <w:szCs w:val="24"/>
          <w:lang w:eastAsia="tr-TR"/>
        </w:rPr>
        <w:t>ic surgery</w:t>
      </w:r>
      <w:r w:rsidRPr="00083676">
        <w:rPr>
          <w:rFonts w:ascii="Times New Roman" w:eastAsia="Times New Roman" w:hAnsi="Times New Roman" w:cs="Times New Roman"/>
          <w:sz w:val="24"/>
          <w:szCs w:val="24"/>
          <w:lang w:eastAsia="tr-TR"/>
        </w:rPr>
        <w:t xml:space="preserve"> for sellar lesions is saf</w:t>
      </w:r>
      <w:r>
        <w:rPr>
          <w:rFonts w:ascii="Times New Roman" w:eastAsia="Times New Roman" w:hAnsi="Times New Roman" w:cs="Times New Roman"/>
          <w:sz w:val="24"/>
          <w:szCs w:val="24"/>
          <w:lang w:eastAsia="tr-TR"/>
        </w:rPr>
        <w:t>e and effective, and it is obvious</w:t>
      </w:r>
      <w:r w:rsidRPr="00083676">
        <w:rPr>
          <w:rFonts w:ascii="Times New Roman" w:eastAsia="Times New Roman" w:hAnsi="Times New Roman" w:cs="Times New Roman"/>
          <w:sz w:val="24"/>
          <w:szCs w:val="24"/>
          <w:lang w:eastAsia="tr-TR"/>
        </w:rPr>
        <w:t xml:space="preserve"> that the endoscope provid</w:t>
      </w:r>
      <w:r>
        <w:rPr>
          <w:rFonts w:ascii="Times New Roman" w:eastAsia="Times New Roman" w:hAnsi="Times New Roman" w:cs="Times New Roman"/>
          <w:sz w:val="24"/>
          <w:szCs w:val="24"/>
          <w:lang w:eastAsia="tr-TR"/>
        </w:rPr>
        <w:t>es important intraoperative visualisation that is</w:t>
      </w:r>
      <w:r w:rsidRPr="00083676">
        <w:rPr>
          <w:rFonts w:ascii="Times New Roman" w:eastAsia="Times New Roman" w:hAnsi="Times New Roman" w:cs="Times New Roman"/>
          <w:sz w:val="24"/>
          <w:szCs w:val="24"/>
          <w:lang w:eastAsia="tr-TR"/>
        </w:rPr>
        <w:t xml:space="preserve"> not </w:t>
      </w:r>
      <w:r>
        <w:rPr>
          <w:rFonts w:ascii="Times New Roman" w:eastAsia="Times New Roman" w:hAnsi="Times New Roman" w:cs="Times New Roman"/>
          <w:sz w:val="24"/>
          <w:szCs w:val="24"/>
          <w:lang w:eastAsia="tr-TR"/>
        </w:rPr>
        <w:t xml:space="preserve">possible to </w:t>
      </w:r>
      <w:r w:rsidRPr="00083676">
        <w:rPr>
          <w:rFonts w:ascii="Times New Roman" w:eastAsia="Times New Roman" w:hAnsi="Times New Roman" w:cs="Times New Roman"/>
          <w:sz w:val="24"/>
          <w:szCs w:val="24"/>
          <w:lang w:eastAsia="tr-TR"/>
        </w:rPr>
        <w:t xml:space="preserve">obtain with the tunnel vision of the microscope. </w:t>
      </w:r>
      <w:r>
        <w:rPr>
          <w:rFonts w:ascii="Times New Roman" w:eastAsia="Times New Roman" w:hAnsi="Times New Roman" w:cs="Times New Roman"/>
          <w:sz w:val="24"/>
          <w:szCs w:val="24"/>
          <w:lang w:eastAsia="tr-TR"/>
        </w:rPr>
        <w:t xml:space="preserve">Large lesions may be </w:t>
      </w:r>
      <w:proofErr w:type="gramStart"/>
      <w:r>
        <w:rPr>
          <w:rFonts w:ascii="Times New Roman" w:eastAsia="Times New Roman" w:hAnsi="Times New Roman" w:cs="Times New Roman"/>
          <w:sz w:val="24"/>
          <w:szCs w:val="24"/>
          <w:lang w:eastAsia="tr-TR"/>
        </w:rPr>
        <w:t>resected  adequately</w:t>
      </w:r>
      <w:proofErr w:type="gramEnd"/>
      <w:r w:rsidRPr="00083676">
        <w:rPr>
          <w:rFonts w:ascii="Times New Roman" w:eastAsia="Times New Roman" w:hAnsi="Times New Roman" w:cs="Times New Roman"/>
          <w:sz w:val="24"/>
          <w:szCs w:val="24"/>
          <w:lang w:eastAsia="tr-TR"/>
        </w:rPr>
        <w:t xml:space="preserve"> by the technique, without higher rates of complications. Pre-operative detailed evaluationof the patient, team work and the experience of the surgeon are major factors effecting the result of the surgery.</w:t>
      </w:r>
    </w:p>
    <w:p w:rsidR="007A1BBF" w:rsidRDefault="007A1BBF" w:rsidP="007A1BBF">
      <w:pPr>
        <w:autoSpaceDE w:val="0"/>
        <w:autoSpaceDN w:val="0"/>
        <w:adjustRightInd w:val="0"/>
        <w:spacing w:line="360" w:lineRule="auto"/>
        <w:ind w:left="708"/>
        <w:jc w:val="both"/>
        <w:rPr>
          <w:rFonts w:ascii="Times New Roman" w:eastAsia="Times New Roman" w:hAnsi="Times New Roman" w:cs="Times New Roman"/>
          <w:sz w:val="28"/>
          <w:szCs w:val="28"/>
          <w:lang w:eastAsia="tr-TR"/>
        </w:rPr>
      </w:pPr>
    </w:p>
    <w:p w:rsidR="007A1BBF" w:rsidRPr="000E0766" w:rsidRDefault="007A1BBF" w:rsidP="007A1BBF">
      <w:pPr>
        <w:autoSpaceDE w:val="0"/>
        <w:autoSpaceDN w:val="0"/>
        <w:adjustRightInd w:val="0"/>
        <w:spacing w:line="360" w:lineRule="auto"/>
        <w:ind w:left="708"/>
        <w:jc w:val="both"/>
        <w:rPr>
          <w:rFonts w:ascii="Times New Roman" w:hAnsi="Times New Roman" w:cs="Times New Roman"/>
          <w:b/>
          <w:sz w:val="24"/>
          <w:szCs w:val="24"/>
        </w:rPr>
      </w:pPr>
      <w:r w:rsidRPr="000E0766">
        <w:rPr>
          <w:rFonts w:ascii="Times New Roman" w:hAnsi="Times New Roman" w:cs="Times New Roman"/>
          <w:b/>
          <w:sz w:val="24"/>
          <w:szCs w:val="24"/>
        </w:rPr>
        <w:t>REFERENCES:</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Abuzayed B, Tanrıöver N, Özlen F, Gazioğlu G, Ulu MO, Kafadar AM, Eraslan B, Akar Z:  Endoscopic endonasal transsphenoidal approach to the sellar region: Results of endoscopic di</w:t>
      </w:r>
      <w:r>
        <w:rPr>
          <w:rFonts w:ascii="Times New Roman" w:hAnsi="Times New Roman" w:cs="Times New Roman"/>
          <w:sz w:val="24"/>
          <w:szCs w:val="24"/>
        </w:rPr>
        <w:t>ssection on 30 cadavers. Turk</w:t>
      </w:r>
      <w:r w:rsidRPr="000E0766">
        <w:rPr>
          <w:rFonts w:ascii="Times New Roman" w:hAnsi="Times New Roman" w:cs="Times New Roman"/>
          <w:sz w:val="24"/>
          <w:szCs w:val="24"/>
        </w:rPr>
        <w:t xml:space="preserve"> Neurosurg 19(3): 237-244, 2009.</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Boxerman JL,  Rogg JM, </w:t>
      </w:r>
      <w:proofErr w:type="gramStart"/>
      <w:r w:rsidRPr="000E0766">
        <w:rPr>
          <w:rFonts w:ascii="Times New Roman" w:hAnsi="Times New Roman" w:cs="Times New Roman"/>
          <w:sz w:val="24"/>
          <w:szCs w:val="24"/>
        </w:rPr>
        <w:t>Donahue  JE</w:t>
      </w:r>
      <w:proofErr w:type="gramEnd"/>
      <w:r w:rsidRPr="000E0766">
        <w:rPr>
          <w:rFonts w:ascii="Times New Roman" w:hAnsi="Times New Roman" w:cs="Times New Roman"/>
          <w:sz w:val="24"/>
          <w:szCs w:val="24"/>
        </w:rPr>
        <w:t>, Machan JT, Goldman MA, Doberstein CE: Preoperative MRI evaluation of pituitary macroadenoma: Imaging features predictive of successful transsphenoidal surgery. AJR 195: 720–728, 2010.</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Campero </w:t>
      </w:r>
      <w:proofErr w:type="gramStart"/>
      <w:r w:rsidRPr="000E0766">
        <w:rPr>
          <w:rFonts w:ascii="Times New Roman" w:hAnsi="Times New Roman" w:cs="Times New Roman"/>
          <w:sz w:val="24"/>
          <w:szCs w:val="24"/>
        </w:rPr>
        <w:t>A , Emmerich</w:t>
      </w:r>
      <w:proofErr w:type="gramEnd"/>
      <w:r w:rsidRPr="000E0766">
        <w:rPr>
          <w:rFonts w:ascii="Times New Roman" w:hAnsi="Times New Roman" w:cs="Times New Roman"/>
          <w:sz w:val="24"/>
          <w:szCs w:val="24"/>
        </w:rPr>
        <w:t xml:space="preserve"> J, Socolovsky M , Martins C , Yasuda A, Campero AA , Rhoton A: Microsurgical anatomy of the sphenoid ostia. Clin Neurosci 17: 1298–1300, 2010.</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Cappabianca P, Cavallo LM, Colao A, Divitis ED: Surgical complications associated with the endoscopic endonasal transsphenoidal approach for pituitary adenomas. J Neurosurg </w:t>
      </w:r>
      <w:proofErr w:type="gramStart"/>
      <w:r w:rsidRPr="000E0766">
        <w:rPr>
          <w:rFonts w:ascii="Times New Roman" w:hAnsi="Times New Roman" w:cs="Times New Roman"/>
          <w:sz w:val="24"/>
          <w:szCs w:val="24"/>
        </w:rPr>
        <w:t>97:293</w:t>
      </w:r>
      <w:proofErr w:type="gramEnd"/>
      <w:r w:rsidRPr="000E0766">
        <w:rPr>
          <w:rFonts w:ascii="Times New Roman" w:hAnsi="Times New Roman" w:cs="Times New Roman"/>
          <w:sz w:val="24"/>
          <w:szCs w:val="24"/>
        </w:rPr>
        <w:t>–298, 2002.</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Chowdhury FH, Haque R, Islam S, Aich ML, Kawsar KA, Haque M,  Sarkar MH: Endonasal transsphenoidal approach to pituitary surgery: experience of 55 cases. Bangladesh J </w:t>
      </w:r>
      <w:proofErr w:type="gramStart"/>
      <w:r w:rsidRPr="000E0766">
        <w:rPr>
          <w:rFonts w:ascii="Times New Roman" w:hAnsi="Times New Roman" w:cs="Times New Roman"/>
          <w:sz w:val="24"/>
          <w:szCs w:val="24"/>
        </w:rPr>
        <w:t>Otorhinolaryngol  15</w:t>
      </w:r>
      <w:proofErr w:type="gramEnd"/>
      <w:r w:rsidRPr="000E0766">
        <w:rPr>
          <w:rFonts w:ascii="Times New Roman" w:hAnsi="Times New Roman" w:cs="Times New Roman"/>
          <w:sz w:val="24"/>
          <w:szCs w:val="24"/>
        </w:rPr>
        <w:t>(2): 45-49,2009.</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eastAsia="Times New Roman" w:hAnsi="Times New Roman" w:cs="Times New Roman"/>
          <w:color w:val="000000"/>
          <w:sz w:val="24"/>
          <w:szCs w:val="24"/>
          <w:lang w:eastAsia="tr-TR"/>
        </w:rPr>
        <w:lastRenderedPageBreak/>
        <w:t>Ciric I, Ragin A, Baumgartner C, Pierce D</w:t>
      </w:r>
      <w:proofErr w:type="gramStart"/>
      <w:r w:rsidRPr="000E0766">
        <w:rPr>
          <w:rFonts w:ascii="Times New Roman" w:eastAsia="Times New Roman" w:hAnsi="Times New Roman" w:cs="Times New Roman"/>
          <w:color w:val="000000"/>
          <w:sz w:val="24"/>
          <w:szCs w:val="24"/>
          <w:lang w:eastAsia="tr-TR"/>
        </w:rPr>
        <w:t>,:</w:t>
      </w:r>
      <w:proofErr w:type="gramEnd"/>
      <w:r w:rsidRPr="000E0766">
        <w:rPr>
          <w:rFonts w:ascii="Times New Roman" w:eastAsia="Times New Roman" w:hAnsi="Times New Roman" w:cs="Times New Roman"/>
          <w:color w:val="000000"/>
          <w:sz w:val="24"/>
          <w:szCs w:val="24"/>
          <w:lang w:eastAsia="tr-TR"/>
        </w:rPr>
        <w:t xml:space="preserve"> Complications of transsphenoidal surgery: Results of a national survey, review of the literature, and personal experience</w:t>
      </w:r>
      <w:r w:rsidRPr="000E0766">
        <w:rPr>
          <w:rFonts w:ascii="Times New Roman" w:eastAsia="Times New Roman" w:hAnsi="Times New Roman" w:cs="Times New Roman"/>
          <w:sz w:val="24"/>
          <w:szCs w:val="24"/>
          <w:lang w:eastAsia="tr-TR"/>
        </w:rPr>
        <w:t>. Neurosurgery 40(2): 225-237,1997.</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 D'Haens J, Rompaey KV, Stadnik T, Haentjens P, Poppe K, Velkeniers B: Fully endoscopic transsphenoidal surgery for functioning pituitary adenomas. A retrospective comparison with traditional transsphenoidal microsurgery in the same institution. Surg Neurol72: 336–340, 2009.</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Gandhi </w:t>
      </w:r>
      <w:proofErr w:type="gramStart"/>
      <w:r w:rsidRPr="000E0766">
        <w:rPr>
          <w:rFonts w:ascii="Times New Roman" w:hAnsi="Times New Roman" w:cs="Times New Roman"/>
          <w:sz w:val="24"/>
          <w:szCs w:val="24"/>
        </w:rPr>
        <w:t>CD , Christiano</w:t>
      </w:r>
      <w:proofErr w:type="gramEnd"/>
      <w:r w:rsidRPr="000E0766">
        <w:rPr>
          <w:rFonts w:ascii="Times New Roman" w:hAnsi="Times New Roman" w:cs="Times New Roman"/>
          <w:sz w:val="24"/>
          <w:szCs w:val="24"/>
        </w:rPr>
        <w:t xml:space="preserve"> LD , Eloy JA , Prestigiacomo CJ, Post KD:  The historical evolution of transsphenoidal surgery: facilitation by technological advances. Neurosurg Focus 27 (3):1-8, 2009.</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Gendeh BS: Expanded endoscopic endonasal approach to anterior and ventral skull base: An evolving paradigm. ISRN Endoscopy Article 2013, ID 149841, 11 pages. Available at: http://dx.doi.org/10.5402/2013/149841</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Gondim JA, Schops M, Almeida JP, Albuquerque LAF, Ferraz EGT, Barroso FAC: Endoscopic endonasal transsphenoidal surgery: surgical results of 228 pituitary adenomas treated in a pituitary center. Pituitary </w:t>
      </w:r>
      <w:proofErr w:type="gramStart"/>
      <w:r w:rsidRPr="000E0766">
        <w:rPr>
          <w:rFonts w:ascii="Times New Roman" w:hAnsi="Times New Roman" w:cs="Times New Roman"/>
          <w:sz w:val="24"/>
          <w:szCs w:val="24"/>
        </w:rPr>
        <w:t>13:68</w:t>
      </w:r>
      <w:proofErr w:type="gramEnd"/>
      <w:r w:rsidRPr="000E0766">
        <w:rPr>
          <w:rFonts w:ascii="Times New Roman" w:hAnsi="Times New Roman" w:cs="Times New Roman"/>
          <w:sz w:val="24"/>
          <w:szCs w:val="24"/>
        </w:rPr>
        <w:t>–77, 2010.</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Hill M, Chandra RK, Fishman AJ, Kern RC: Endoscopic transsphenoidal approaches to the sella. Oper Tech Otolaryngol 21: 51-55, 2010.</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Hofstetter C, Anand VK, Schwartz TH: Endoscopic transsphenoidal pituitary surgery. Oper Tech Otolaryngol 22: 206-214, 2011.</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Jho HD: Endoscopic transsphenoidal surgery. J Neuro-Oncol 54: 187–195, 2001.</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Kim BY, Son HL, Kang SG, Kim SW, Hong YK, Jeun SS, Kim SW, Cho JH, Jin Park YJ: Postoperative nasal symptoms associated with an endoscopic endonasal transsphenoidal approach. Eur Arch Otorhinolaryngol 270: 1355–1359, 2013.</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 Kus LH, Rotenberg BW, Duggal N: Use of tissue glues in endoscopic pituitary surgery: A cost comparison. Can. J. Neurol. Sci.  37: 650-655, 2010.</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Lazaridis N,Natsis K, Koebke J,Themelis C: </w:t>
      </w:r>
      <w:proofErr w:type="gramStart"/>
      <w:r w:rsidRPr="000E0766">
        <w:rPr>
          <w:rFonts w:ascii="Times New Roman" w:hAnsi="Times New Roman" w:cs="Times New Roman"/>
          <w:sz w:val="24"/>
          <w:szCs w:val="24"/>
        </w:rPr>
        <w:t>Nasal,sellar</w:t>
      </w:r>
      <w:proofErr w:type="gramEnd"/>
      <w:r w:rsidRPr="000E0766">
        <w:rPr>
          <w:rFonts w:ascii="Times New Roman" w:hAnsi="Times New Roman" w:cs="Times New Roman"/>
          <w:sz w:val="24"/>
          <w:szCs w:val="24"/>
        </w:rPr>
        <w:t xml:space="preserve">,and sphenoid sinus measurements in relation to pituitary surgery. Clin Anat </w:t>
      </w:r>
      <w:proofErr w:type="gramStart"/>
      <w:r w:rsidRPr="000E0766">
        <w:rPr>
          <w:rFonts w:ascii="Times New Roman" w:hAnsi="Times New Roman" w:cs="Times New Roman"/>
          <w:sz w:val="24"/>
          <w:szCs w:val="24"/>
        </w:rPr>
        <w:t>23:629</w:t>
      </w:r>
      <w:proofErr w:type="gramEnd"/>
      <w:r w:rsidRPr="000E0766">
        <w:rPr>
          <w:rFonts w:ascii="Times New Roman" w:hAnsi="Times New Roman" w:cs="Times New Roman"/>
          <w:sz w:val="24"/>
          <w:szCs w:val="24"/>
        </w:rPr>
        <w:t>–636, 2010.</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Ogawa T, Matsumoto K, Nakashima T, Okano M, Ono Y, Fukushima K, Yuuen K, Akagi H, Nishizaki K: Hypophysis surgery with or without endoscopy. Auris Nasus Larynx 28: 143–149, 2001.</w:t>
      </w:r>
    </w:p>
    <w:p w:rsidR="007A1BBF"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 xml:space="preserve"> Saad MSM, Gendeh BS, Husain S: Endonasal endoscopic transspehoidal pituitary surgery for pituitary adenoma: A retrospective analysis of surgical outcome.  Med J Malaysia 66(5): 443-446, 2011.</w:t>
      </w:r>
    </w:p>
    <w:p w:rsidR="007A1BBF" w:rsidRPr="007B7DA1"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7B7DA1">
        <w:rPr>
          <w:rFonts w:ascii="Times New Roman" w:hAnsi="Times New Roman" w:cs="Times New Roman"/>
          <w:sz w:val="24"/>
          <w:szCs w:val="24"/>
        </w:rPr>
        <w:lastRenderedPageBreak/>
        <w:t>Sen</w:t>
      </w:r>
      <w:r>
        <w:rPr>
          <w:rFonts w:ascii="Times New Roman" w:hAnsi="Times New Roman" w:cs="Times New Roman"/>
          <w:sz w:val="24"/>
          <w:szCs w:val="24"/>
        </w:rPr>
        <w:t>ior BA, Ebbert CS, Bednarski KK:</w:t>
      </w:r>
      <w:r w:rsidRPr="007B7DA1">
        <w:rPr>
          <w:rFonts w:ascii="Times New Roman" w:hAnsi="Times New Roman" w:cs="Times New Roman"/>
          <w:sz w:val="24"/>
          <w:szCs w:val="24"/>
        </w:rPr>
        <w:t xml:space="preserve"> Minimallyinvasive pituitary surgery. Laryngoscope 118:1842–1855</w:t>
      </w:r>
      <w:r>
        <w:rPr>
          <w:rFonts w:ascii="Times New Roman" w:hAnsi="Times New Roman" w:cs="Times New Roman"/>
          <w:sz w:val="24"/>
          <w:szCs w:val="24"/>
        </w:rPr>
        <w:t>, 2008.</w:t>
      </w:r>
    </w:p>
    <w:p w:rsidR="007A1BBF" w:rsidRPr="000E0766"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sz w:val="24"/>
          <w:szCs w:val="24"/>
        </w:rPr>
      </w:pPr>
      <w:r w:rsidRPr="000E0766">
        <w:rPr>
          <w:rFonts w:ascii="Times New Roman" w:hAnsi="Times New Roman" w:cs="Times New Roman"/>
          <w:sz w:val="24"/>
          <w:szCs w:val="24"/>
        </w:rPr>
        <w:t>Tabaee A, Anand VK, Barron Y, Hiltzik DH, Brown SM,  Kacker A, Mazumdar M, Schwartz TH: Endoscopic pituitary surgery: a systematic review and meta-analysis. J Neurosurg 111:545–554, 2009.</w:t>
      </w:r>
    </w:p>
    <w:p w:rsidR="007A1BBF" w:rsidRPr="00E23E63"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rPr>
      </w:pPr>
      <w:r w:rsidRPr="00E23E63">
        <w:rPr>
          <w:rFonts w:ascii="Times New Roman" w:hAnsi="Times New Roman" w:cs="Times New Roman"/>
          <w:sz w:val="24"/>
          <w:szCs w:val="24"/>
        </w:rPr>
        <w:t>Wagenmakers MAEM, Netea-Maier RT, Lindert EJV, Timmers HJLM, Grotenhuis JA, Hermus ARMM: Repeated transsphenoidal pituitary surgery (TS) via the endoscopic technique: a good therapeutic option for recurrent or persistent Cushing’s disease (CD). Clin Endocrinol 70: 274–280, 2009.</w:t>
      </w:r>
    </w:p>
    <w:p w:rsidR="007A1BBF" w:rsidRPr="00100E15" w:rsidRDefault="007A1BBF" w:rsidP="007A1BBF">
      <w:pPr>
        <w:pStyle w:val="ListeParagraf"/>
        <w:numPr>
          <w:ilvl w:val="0"/>
          <w:numId w:val="2"/>
        </w:numPr>
        <w:autoSpaceDE w:val="0"/>
        <w:autoSpaceDN w:val="0"/>
        <w:adjustRightInd w:val="0"/>
        <w:spacing w:line="360" w:lineRule="auto"/>
        <w:jc w:val="both"/>
        <w:rPr>
          <w:rFonts w:ascii="Times New Roman" w:hAnsi="Times New Roman" w:cs="Times New Roman"/>
        </w:rPr>
      </w:pPr>
      <w:r w:rsidRPr="00E23E63">
        <w:rPr>
          <w:rFonts w:ascii="Times New Roman" w:hAnsi="Times New Roman" w:cs="Times New Roman"/>
          <w:color w:val="000000"/>
          <w:sz w:val="24"/>
          <w:szCs w:val="24"/>
          <w:shd w:val="clear" w:color="auto" w:fill="FFFFFF"/>
        </w:rPr>
        <w:t xml:space="preserve">White et al. Safety of minimally invasive pituitary surgery compared with a traditional approach. </w:t>
      </w:r>
      <w:r w:rsidRPr="00E23E63">
        <w:rPr>
          <w:rStyle w:val="Vurgu"/>
          <w:rFonts w:ascii="Times New Roman" w:hAnsi="Times New Roman" w:cs="Times New Roman"/>
          <w:color w:val="000000"/>
          <w:sz w:val="24"/>
          <w:szCs w:val="24"/>
          <w:shd w:val="clear" w:color="auto" w:fill="FFFFFF"/>
        </w:rPr>
        <w:t>Laryngoscope</w:t>
      </w:r>
      <w:r w:rsidRPr="00E23E63">
        <w:rPr>
          <w:rStyle w:val="apple-converted-space"/>
          <w:rFonts w:ascii="Times New Roman" w:hAnsi="Times New Roman" w:cs="Times New Roman"/>
          <w:color w:val="000000"/>
          <w:sz w:val="24"/>
          <w:szCs w:val="24"/>
          <w:shd w:val="clear" w:color="auto" w:fill="FFFFFF"/>
        </w:rPr>
        <w:t> </w:t>
      </w:r>
      <w:r w:rsidRPr="00E23E63">
        <w:rPr>
          <w:rFonts w:ascii="Times New Roman" w:hAnsi="Times New Roman" w:cs="Times New Roman"/>
          <w:color w:val="000000"/>
          <w:sz w:val="24"/>
          <w:szCs w:val="24"/>
          <w:shd w:val="clear" w:color="auto" w:fill="FFFFFF"/>
        </w:rPr>
        <w:t>114:1945-1948, 2004</w:t>
      </w:r>
      <w:r w:rsidRPr="00E23E63">
        <w:rPr>
          <w:rFonts w:ascii="Times New Roman" w:hAnsi="Times New Roman" w:cs="Times New Roman"/>
          <w:i/>
          <w:color w:val="000000"/>
          <w:sz w:val="24"/>
          <w:szCs w:val="24"/>
          <w:shd w:val="clear" w:color="auto" w:fill="FFFFFF"/>
        </w:rPr>
        <w:t>.</w:t>
      </w:r>
    </w:p>
    <w:p w:rsidR="007A1BBF"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8"/>
          <w:szCs w:val="28"/>
          <w:lang w:eastAsia="tr-TR"/>
        </w:rPr>
      </w:pPr>
    </w:p>
    <w:p w:rsidR="007A1BBF" w:rsidRPr="004C4305"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8"/>
          <w:szCs w:val="28"/>
          <w:lang w:eastAsia="tr-TR"/>
        </w:rPr>
      </w:pPr>
    </w:p>
    <w:p w:rsidR="007A1BBF" w:rsidRPr="00710A3F" w:rsidRDefault="007A1BBF" w:rsidP="007A1BBF">
      <w:pPr>
        <w:shd w:val="clear" w:color="auto" w:fill="FFFFFF"/>
        <w:spacing w:before="100" w:beforeAutospacing="1" w:after="300" w:line="360" w:lineRule="auto"/>
        <w:ind w:left="708" w:firstLine="708"/>
        <w:jc w:val="both"/>
        <w:rPr>
          <w:rFonts w:ascii="Times New Roman" w:eastAsia="Times New Roman" w:hAnsi="Times New Roman" w:cs="Times New Roman"/>
          <w:sz w:val="28"/>
          <w:szCs w:val="28"/>
          <w:lang w:eastAsia="tr-TR"/>
        </w:rPr>
      </w:pPr>
    </w:p>
    <w:p w:rsidR="007A1BBF" w:rsidRPr="002D5D79" w:rsidRDefault="007A1BBF" w:rsidP="007A1BBF">
      <w:pPr>
        <w:ind w:left="708"/>
        <w:jc w:val="both"/>
        <w:rPr>
          <w:rFonts w:ascii="Times New Roman" w:hAnsi="Times New Roman" w:cs="Times New Roman"/>
          <w:sz w:val="28"/>
          <w:szCs w:val="28"/>
        </w:rPr>
      </w:pPr>
    </w:p>
    <w:p w:rsidR="007A1BBF" w:rsidRDefault="007A1BBF" w:rsidP="007A1BBF">
      <w:pPr>
        <w:ind w:left="708" w:firstLine="708"/>
        <w:jc w:val="both"/>
        <w:rPr>
          <w:rFonts w:ascii="Times New Roman" w:hAnsi="Times New Roman" w:cs="Times New Roman"/>
          <w:sz w:val="28"/>
          <w:szCs w:val="28"/>
        </w:rPr>
      </w:pPr>
    </w:p>
    <w:p w:rsidR="007A1BBF" w:rsidRPr="002D5D79" w:rsidRDefault="007A1BBF" w:rsidP="007A1BBF">
      <w:pPr>
        <w:ind w:left="708" w:firstLine="708"/>
        <w:jc w:val="both"/>
        <w:rPr>
          <w:rFonts w:ascii="Times New Roman" w:hAnsi="Times New Roman" w:cs="Times New Roman"/>
          <w:sz w:val="28"/>
          <w:szCs w:val="28"/>
        </w:rPr>
      </w:pPr>
    </w:p>
    <w:p w:rsidR="007A1BBF" w:rsidRPr="003822FD" w:rsidRDefault="007A1BBF" w:rsidP="007A1BBF">
      <w:pPr>
        <w:ind w:left="708"/>
        <w:rPr>
          <w:rFonts w:eastAsia="Times New Roman" w:cs="Arial"/>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Default="007A1BBF" w:rsidP="007A1BBF">
      <w:pPr>
        <w:shd w:val="clear" w:color="auto" w:fill="FFFFFF"/>
        <w:spacing w:before="135" w:after="105" w:line="345" w:lineRule="atLeast"/>
        <w:ind w:left="708"/>
        <w:outlineLvl w:val="1"/>
        <w:rPr>
          <w:rFonts w:eastAsia="Times New Roman" w:cs="Tahoma"/>
          <w:color w:val="000000"/>
          <w:sz w:val="28"/>
          <w:szCs w:val="28"/>
          <w:lang w:eastAsia="tr-TR"/>
        </w:rPr>
      </w:pPr>
    </w:p>
    <w:p w:rsidR="007A1BBF" w:rsidRPr="00E158BB" w:rsidRDefault="007A1BBF" w:rsidP="007A1BBF">
      <w:pPr>
        <w:pStyle w:val="Balk6"/>
        <w:spacing w:before="0" w:after="0" w:line="360" w:lineRule="auto"/>
        <w:ind w:left="708"/>
        <w:rPr>
          <w:rFonts w:ascii="Times New Roman" w:hAnsi="Times New Roman"/>
          <w:b w:val="0"/>
          <w:sz w:val="24"/>
          <w:szCs w:val="24"/>
        </w:rPr>
      </w:pPr>
      <w:bookmarkStart w:id="1" w:name="_Toc308014117"/>
      <w:r>
        <w:rPr>
          <w:rFonts w:ascii="Times New Roman" w:hAnsi="Times New Roman"/>
          <w:sz w:val="24"/>
          <w:szCs w:val="24"/>
        </w:rPr>
        <w:t>Table 1</w:t>
      </w:r>
      <w:r>
        <w:rPr>
          <w:rFonts w:ascii="Times New Roman" w:hAnsi="Times New Roman"/>
          <w:b w:val="0"/>
          <w:sz w:val="24"/>
          <w:szCs w:val="24"/>
        </w:rPr>
        <w:t>Adenoma types of the patients with hypopituitarism</w:t>
      </w:r>
      <w:bookmarkEnd w:id="1"/>
    </w:p>
    <w:tbl>
      <w:tblPr>
        <w:tblW w:w="8643" w:type="dxa"/>
        <w:tblInd w:w="708" w:type="dxa"/>
        <w:tblBorders>
          <w:top w:val="single" w:sz="18" w:space="0" w:color="auto"/>
          <w:bottom w:val="single" w:sz="18" w:space="0" w:color="auto"/>
        </w:tblBorders>
        <w:tblLook w:val="01E0"/>
      </w:tblPr>
      <w:tblGrid>
        <w:gridCol w:w="2881"/>
        <w:gridCol w:w="2881"/>
        <w:gridCol w:w="2881"/>
      </w:tblGrid>
      <w:tr w:rsidR="007A1BBF" w:rsidRPr="00D06B74" w:rsidTr="008D6D27">
        <w:trPr>
          <w:trHeight w:val="20"/>
        </w:trPr>
        <w:tc>
          <w:tcPr>
            <w:tcW w:w="2881" w:type="dxa"/>
            <w:vMerge w:val="restart"/>
            <w:shd w:val="clear" w:color="auto" w:fill="auto"/>
            <w:vAlign w:val="center"/>
          </w:tcPr>
          <w:p w:rsidR="007A1BBF" w:rsidRPr="00D06B74" w:rsidRDefault="007A1BBF" w:rsidP="008D6D27">
            <w:pPr>
              <w:autoSpaceDE w:val="0"/>
              <w:autoSpaceDN w:val="0"/>
              <w:adjustRightInd w:val="0"/>
              <w:spacing w:before="120"/>
              <w:jc w:val="center"/>
              <w:rPr>
                <w:b/>
                <w:sz w:val="20"/>
                <w:szCs w:val="20"/>
              </w:rPr>
            </w:pPr>
            <w:r>
              <w:rPr>
                <w:b/>
                <w:sz w:val="20"/>
                <w:szCs w:val="20"/>
              </w:rPr>
              <w:t>Adenoma Type</w:t>
            </w:r>
          </w:p>
        </w:tc>
        <w:tc>
          <w:tcPr>
            <w:tcW w:w="5762" w:type="dxa"/>
            <w:gridSpan w:val="2"/>
            <w:shd w:val="clear" w:color="auto" w:fill="auto"/>
          </w:tcPr>
          <w:p w:rsidR="007A1BBF" w:rsidRPr="00D06B74" w:rsidRDefault="007A1BBF" w:rsidP="008D6D27">
            <w:pPr>
              <w:autoSpaceDE w:val="0"/>
              <w:autoSpaceDN w:val="0"/>
              <w:adjustRightInd w:val="0"/>
              <w:spacing w:before="120"/>
              <w:jc w:val="center"/>
              <w:rPr>
                <w:b/>
                <w:sz w:val="20"/>
                <w:szCs w:val="20"/>
              </w:rPr>
            </w:pPr>
            <w:r w:rsidRPr="00D06B74">
              <w:rPr>
                <w:b/>
                <w:sz w:val="20"/>
                <w:szCs w:val="20"/>
              </w:rPr>
              <w:t>H</w:t>
            </w:r>
            <w:r>
              <w:rPr>
                <w:b/>
                <w:sz w:val="20"/>
                <w:szCs w:val="20"/>
              </w:rPr>
              <w:t>ypopituitaris</w:t>
            </w:r>
            <w:r w:rsidRPr="00D06B74">
              <w:rPr>
                <w:b/>
                <w:sz w:val="20"/>
                <w:szCs w:val="20"/>
              </w:rPr>
              <w:t>m</w:t>
            </w:r>
          </w:p>
        </w:tc>
      </w:tr>
      <w:tr w:rsidR="007A1BBF" w:rsidRPr="00D06B74" w:rsidTr="008D6D27">
        <w:trPr>
          <w:trHeight w:val="20"/>
        </w:trPr>
        <w:tc>
          <w:tcPr>
            <w:tcW w:w="2881" w:type="dxa"/>
            <w:vMerge/>
            <w:tcBorders>
              <w:bottom w:val="single" w:sz="18" w:space="0" w:color="auto"/>
            </w:tcBorders>
            <w:shd w:val="clear" w:color="auto" w:fill="auto"/>
          </w:tcPr>
          <w:p w:rsidR="007A1BBF" w:rsidRPr="00D06B74" w:rsidRDefault="007A1BBF" w:rsidP="008D6D27">
            <w:pPr>
              <w:autoSpaceDE w:val="0"/>
              <w:autoSpaceDN w:val="0"/>
              <w:adjustRightInd w:val="0"/>
              <w:spacing w:before="120"/>
              <w:jc w:val="center"/>
              <w:rPr>
                <w:b/>
                <w:sz w:val="20"/>
                <w:szCs w:val="20"/>
              </w:rPr>
            </w:pPr>
          </w:p>
        </w:tc>
        <w:tc>
          <w:tcPr>
            <w:tcW w:w="2881" w:type="dxa"/>
            <w:tcBorders>
              <w:bottom w:val="single" w:sz="18" w:space="0" w:color="auto"/>
            </w:tcBorders>
            <w:shd w:val="clear" w:color="auto" w:fill="auto"/>
          </w:tcPr>
          <w:p w:rsidR="007A1BBF" w:rsidRPr="00D06B74" w:rsidRDefault="007A1BBF" w:rsidP="008D6D27">
            <w:pPr>
              <w:autoSpaceDE w:val="0"/>
              <w:autoSpaceDN w:val="0"/>
              <w:adjustRightInd w:val="0"/>
              <w:spacing w:before="120"/>
              <w:jc w:val="center"/>
              <w:rPr>
                <w:b/>
                <w:sz w:val="20"/>
                <w:szCs w:val="20"/>
              </w:rPr>
            </w:pPr>
            <w:r>
              <w:rPr>
                <w:b/>
                <w:sz w:val="20"/>
                <w:szCs w:val="20"/>
              </w:rPr>
              <w:t>( + )</w:t>
            </w:r>
          </w:p>
        </w:tc>
        <w:tc>
          <w:tcPr>
            <w:tcW w:w="2881" w:type="dxa"/>
            <w:tcBorders>
              <w:bottom w:val="single" w:sz="18" w:space="0" w:color="auto"/>
            </w:tcBorders>
            <w:shd w:val="clear" w:color="auto" w:fill="auto"/>
          </w:tcPr>
          <w:p w:rsidR="007A1BBF" w:rsidRPr="00D06B74" w:rsidRDefault="007A1BBF" w:rsidP="008D6D27">
            <w:pPr>
              <w:autoSpaceDE w:val="0"/>
              <w:autoSpaceDN w:val="0"/>
              <w:adjustRightInd w:val="0"/>
              <w:spacing w:before="120"/>
              <w:jc w:val="center"/>
              <w:rPr>
                <w:b/>
                <w:sz w:val="20"/>
                <w:szCs w:val="20"/>
              </w:rPr>
            </w:pPr>
            <w:r>
              <w:rPr>
                <w:b/>
                <w:sz w:val="20"/>
                <w:szCs w:val="20"/>
              </w:rPr>
              <w:t>( - )</w:t>
            </w:r>
          </w:p>
        </w:tc>
      </w:tr>
      <w:tr w:rsidR="007A1BBF" w:rsidRPr="00D06B74" w:rsidTr="008D6D27">
        <w:trPr>
          <w:trHeight w:val="20"/>
        </w:trPr>
        <w:tc>
          <w:tcPr>
            <w:tcW w:w="2881" w:type="dxa"/>
            <w:tcBorders>
              <w:top w:val="single" w:sz="18" w:space="0" w:color="auto"/>
              <w:bottom w:val="nil"/>
            </w:tcBorders>
            <w:shd w:val="pct10" w:color="auto" w:fill="auto"/>
          </w:tcPr>
          <w:p w:rsidR="007A1BBF" w:rsidRPr="00D06B74" w:rsidRDefault="007A1BBF" w:rsidP="008D6D27">
            <w:pPr>
              <w:autoSpaceDE w:val="0"/>
              <w:autoSpaceDN w:val="0"/>
              <w:adjustRightInd w:val="0"/>
              <w:spacing w:before="120"/>
              <w:ind w:left="284"/>
              <w:rPr>
                <w:b/>
                <w:sz w:val="20"/>
                <w:szCs w:val="20"/>
              </w:rPr>
            </w:pPr>
            <w:r>
              <w:rPr>
                <w:b/>
                <w:sz w:val="20"/>
                <w:szCs w:val="20"/>
              </w:rPr>
              <w:t>Non-functiona</w:t>
            </w:r>
            <w:r w:rsidRPr="00D06B74">
              <w:rPr>
                <w:b/>
                <w:sz w:val="20"/>
                <w:szCs w:val="20"/>
              </w:rPr>
              <w:t>l</w:t>
            </w:r>
          </w:p>
        </w:tc>
        <w:tc>
          <w:tcPr>
            <w:tcW w:w="2881" w:type="dxa"/>
            <w:tcBorders>
              <w:top w:val="single" w:sz="18" w:space="0" w:color="auto"/>
              <w:bottom w:val="nil"/>
            </w:tcBorders>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26</w:t>
            </w:r>
          </w:p>
        </w:tc>
        <w:tc>
          <w:tcPr>
            <w:tcW w:w="2881" w:type="dxa"/>
            <w:tcBorders>
              <w:top w:val="single" w:sz="18" w:space="0" w:color="auto"/>
              <w:bottom w:val="nil"/>
            </w:tcBorders>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16</w:t>
            </w:r>
          </w:p>
        </w:tc>
      </w:tr>
      <w:tr w:rsidR="007A1BBF" w:rsidRPr="00D06B74" w:rsidTr="008D6D27">
        <w:trPr>
          <w:trHeight w:val="20"/>
        </w:trPr>
        <w:tc>
          <w:tcPr>
            <w:tcW w:w="2881" w:type="dxa"/>
            <w:tcBorders>
              <w:top w:val="nil"/>
            </w:tcBorders>
            <w:shd w:val="clear" w:color="auto" w:fill="auto"/>
          </w:tcPr>
          <w:p w:rsidR="007A1BBF" w:rsidRPr="00D06B74" w:rsidRDefault="007A1BBF" w:rsidP="008D6D27">
            <w:pPr>
              <w:autoSpaceDE w:val="0"/>
              <w:autoSpaceDN w:val="0"/>
              <w:adjustRightInd w:val="0"/>
              <w:spacing w:before="120"/>
              <w:ind w:left="284"/>
              <w:rPr>
                <w:b/>
                <w:sz w:val="20"/>
                <w:szCs w:val="20"/>
              </w:rPr>
            </w:pPr>
            <w:r>
              <w:rPr>
                <w:b/>
                <w:sz w:val="20"/>
                <w:szCs w:val="20"/>
              </w:rPr>
              <w:t>Prolac</w:t>
            </w:r>
            <w:r w:rsidRPr="00D06B74">
              <w:rPr>
                <w:b/>
                <w:sz w:val="20"/>
                <w:szCs w:val="20"/>
              </w:rPr>
              <w:t>tinoma</w:t>
            </w:r>
          </w:p>
        </w:tc>
        <w:tc>
          <w:tcPr>
            <w:tcW w:w="2881" w:type="dxa"/>
            <w:tcBorders>
              <w:top w:val="nil"/>
            </w:tcBorders>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2881" w:type="dxa"/>
            <w:tcBorders>
              <w:top w:val="nil"/>
            </w:tcBorders>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7</w:t>
            </w:r>
          </w:p>
        </w:tc>
      </w:tr>
      <w:tr w:rsidR="007A1BBF" w:rsidRPr="00D06B74" w:rsidTr="008D6D27">
        <w:trPr>
          <w:trHeight w:val="20"/>
        </w:trPr>
        <w:tc>
          <w:tcPr>
            <w:tcW w:w="2881" w:type="dxa"/>
            <w:shd w:val="pct10" w:color="auto" w:fill="auto"/>
          </w:tcPr>
          <w:p w:rsidR="007A1BBF" w:rsidRPr="00D06B74" w:rsidRDefault="007A1BBF" w:rsidP="008D6D27">
            <w:pPr>
              <w:autoSpaceDE w:val="0"/>
              <w:autoSpaceDN w:val="0"/>
              <w:adjustRightInd w:val="0"/>
              <w:spacing w:before="120"/>
              <w:ind w:left="284"/>
              <w:rPr>
                <w:b/>
                <w:sz w:val="20"/>
                <w:szCs w:val="20"/>
              </w:rPr>
            </w:pPr>
            <w:r w:rsidRPr="00D06B74">
              <w:rPr>
                <w:b/>
                <w:sz w:val="20"/>
                <w:szCs w:val="20"/>
              </w:rPr>
              <w:t>Somatotropinoma</w:t>
            </w:r>
          </w:p>
        </w:tc>
        <w:tc>
          <w:tcPr>
            <w:tcW w:w="2881" w:type="dxa"/>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2881" w:type="dxa"/>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14</w:t>
            </w:r>
          </w:p>
        </w:tc>
      </w:tr>
      <w:tr w:rsidR="007A1BBF" w:rsidRPr="00D06B74" w:rsidTr="008D6D27">
        <w:trPr>
          <w:trHeight w:val="20"/>
        </w:trPr>
        <w:tc>
          <w:tcPr>
            <w:tcW w:w="2881" w:type="dxa"/>
            <w:shd w:val="clear" w:color="auto" w:fill="auto"/>
          </w:tcPr>
          <w:p w:rsidR="007A1BBF" w:rsidRPr="00D06B74" w:rsidRDefault="007A1BBF" w:rsidP="008D6D27">
            <w:pPr>
              <w:autoSpaceDE w:val="0"/>
              <w:autoSpaceDN w:val="0"/>
              <w:adjustRightInd w:val="0"/>
              <w:spacing w:before="120"/>
              <w:ind w:left="284"/>
              <w:rPr>
                <w:b/>
                <w:sz w:val="20"/>
                <w:szCs w:val="20"/>
              </w:rPr>
            </w:pPr>
            <w:r>
              <w:rPr>
                <w:b/>
                <w:sz w:val="20"/>
                <w:szCs w:val="20"/>
              </w:rPr>
              <w:t>Corticot</w:t>
            </w:r>
            <w:r w:rsidRPr="00D06B74">
              <w:rPr>
                <w:b/>
                <w:sz w:val="20"/>
                <w:szCs w:val="20"/>
              </w:rPr>
              <w:t>r</w:t>
            </w:r>
            <w:r>
              <w:rPr>
                <w:b/>
                <w:sz w:val="20"/>
                <w:szCs w:val="20"/>
              </w:rPr>
              <w:t>o</w:t>
            </w:r>
            <w:r w:rsidRPr="00D06B74">
              <w:rPr>
                <w:b/>
                <w:sz w:val="20"/>
                <w:szCs w:val="20"/>
              </w:rPr>
              <w:t>pinoma</w:t>
            </w:r>
          </w:p>
        </w:tc>
        <w:tc>
          <w:tcPr>
            <w:tcW w:w="2881" w:type="dxa"/>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0</w:t>
            </w:r>
          </w:p>
        </w:tc>
        <w:tc>
          <w:tcPr>
            <w:tcW w:w="2881" w:type="dxa"/>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12</w:t>
            </w:r>
          </w:p>
        </w:tc>
      </w:tr>
      <w:tr w:rsidR="007A1BBF" w:rsidRPr="00D06B74" w:rsidTr="008D6D27">
        <w:trPr>
          <w:trHeight w:val="20"/>
        </w:trPr>
        <w:tc>
          <w:tcPr>
            <w:tcW w:w="2881" w:type="dxa"/>
            <w:shd w:val="pct10" w:color="auto" w:fill="auto"/>
          </w:tcPr>
          <w:p w:rsidR="007A1BBF" w:rsidRPr="00D06B74" w:rsidRDefault="007A1BBF" w:rsidP="008D6D27">
            <w:pPr>
              <w:autoSpaceDE w:val="0"/>
              <w:autoSpaceDN w:val="0"/>
              <w:adjustRightInd w:val="0"/>
              <w:spacing w:before="120"/>
              <w:ind w:left="284"/>
              <w:rPr>
                <w:b/>
                <w:sz w:val="20"/>
                <w:szCs w:val="20"/>
              </w:rPr>
            </w:pPr>
            <w:r w:rsidRPr="00D06B74">
              <w:rPr>
                <w:b/>
                <w:sz w:val="20"/>
                <w:szCs w:val="20"/>
              </w:rPr>
              <w:t>PRL+GH</w:t>
            </w:r>
          </w:p>
        </w:tc>
        <w:tc>
          <w:tcPr>
            <w:tcW w:w="2881" w:type="dxa"/>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0</w:t>
            </w:r>
          </w:p>
        </w:tc>
        <w:tc>
          <w:tcPr>
            <w:tcW w:w="2881" w:type="dxa"/>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2</w:t>
            </w:r>
          </w:p>
        </w:tc>
      </w:tr>
      <w:tr w:rsidR="007A1BBF" w:rsidRPr="00D06B74" w:rsidTr="008D6D27">
        <w:trPr>
          <w:trHeight w:val="20"/>
        </w:trPr>
        <w:tc>
          <w:tcPr>
            <w:tcW w:w="2881" w:type="dxa"/>
            <w:shd w:val="clear" w:color="auto" w:fill="auto"/>
          </w:tcPr>
          <w:p w:rsidR="007A1BBF" w:rsidRPr="00D06B74" w:rsidRDefault="007A1BBF" w:rsidP="008D6D27">
            <w:pPr>
              <w:autoSpaceDE w:val="0"/>
              <w:autoSpaceDN w:val="0"/>
              <w:adjustRightInd w:val="0"/>
              <w:spacing w:before="120"/>
              <w:ind w:left="284"/>
              <w:rPr>
                <w:b/>
                <w:sz w:val="20"/>
                <w:szCs w:val="20"/>
              </w:rPr>
            </w:pPr>
            <w:r w:rsidRPr="00D06B74">
              <w:rPr>
                <w:b/>
                <w:sz w:val="20"/>
                <w:szCs w:val="20"/>
              </w:rPr>
              <w:t>PRL+ACTH</w:t>
            </w:r>
          </w:p>
        </w:tc>
        <w:tc>
          <w:tcPr>
            <w:tcW w:w="2881" w:type="dxa"/>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0</w:t>
            </w:r>
          </w:p>
        </w:tc>
        <w:tc>
          <w:tcPr>
            <w:tcW w:w="2881" w:type="dxa"/>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r>
      <w:tr w:rsidR="007A1BBF" w:rsidRPr="00D06B74" w:rsidTr="008D6D27">
        <w:trPr>
          <w:trHeight w:val="20"/>
        </w:trPr>
        <w:tc>
          <w:tcPr>
            <w:tcW w:w="2881" w:type="dxa"/>
            <w:shd w:val="pct10" w:color="auto" w:fill="auto"/>
          </w:tcPr>
          <w:p w:rsidR="007A1BBF" w:rsidRPr="00D06B74" w:rsidRDefault="007A1BBF" w:rsidP="008D6D27">
            <w:pPr>
              <w:autoSpaceDE w:val="0"/>
              <w:autoSpaceDN w:val="0"/>
              <w:adjustRightInd w:val="0"/>
              <w:spacing w:before="120"/>
              <w:ind w:left="284"/>
              <w:rPr>
                <w:b/>
                <w:sz w:val="20"/>
                <w:szCs w:val="20"/>
              </w:rPr>
            </w:pPr>
            <w:r w:rsidRPr="00D06B74">
              <w:rPr>
                <w:b/>
                <w:sz w:val="20"/>
                <w:szCs w:val="20"/>
              </w:rPr>
              <w:t>T</w:t>
            </w:r>
            <w:r>
              <w:rPr>
                <w:b/>
                <w:sz w:val="20"/>
                <w:szCs w:val="20"/>
              </w:rPr>
              <w:t>otal</w:t>
            </w:r>
          </w:p>
        </w:tc>
        <w:tc>
          <w:tcPr>
            <w:tcW w:w="2881" w:type="dxa"/>
            <w:shd w:val="pct10" w:color="auto" w:fill="auto"/>
          </w:tcPr>
          <w:p w:rsidR="007A1BBF" w:rsidRPr="00D06B74" w:rsidRDefault="007A1BBF" w:rsidP="008D6D27">
            <w:pPr>
              <w:autoSpaceDE w:val="0"/>
              <w:autoSpaceDN w:val="0"/>
              <w:adjustRightInd w:val="0"/>
              <w:spacing w:before="120"/>
              <w:jc w:val="center"/>
              <w:rPr>
                <w:b/>
                <w:sz w:val="20"/>
                <w:szCs w:val="20"/>
              </w:rPr>
            </w:pPr>
            <w:r w:rsidRPr="00D06B74">
              <w:rPr>
                <w:b/>
                <w:sz w:val="20"/>
                <w:szCs w:val="20"/>
              </w:rPr>
              <w:t>28</w:t>
            </w:r>
          </w:p>
        </w:tc>
        <w:tc>
          <w:tcPr>
            <w:tcW w:w="2881" w:type="dxa"/>
            <w:shd w:val="pct10" w:color="auto" w:fill="auto"/>
          </w:tcPr>
          <w:p w:rsidR="007A1BBF" w:rsidRPr="00D06B74" w:rsidRDefault="007A1BBF" w:rsidP="008D6D27">
            <w:pPr>
              <w:autoSpaceDE w:val="0"/>
              <w:autoSpaceDN w:val="0"/>
              <w:adjustRightInd w:val="0"/>
              <w:spacing w:before="120"/>
              <w:jc w:val="center"/>
              <w:rPr>
                <w:b/>
                <w:sz w:val="20"/>
                <w:szCs w:val="20"/>
              </w:rPr>
            </w:pPr>
            <w:r w:rsidRPr="00D06B74">
              <w:rPr>
                <w:b/>
                <w:sz w:val="20"/>
                <w:szCs w:val="20"/>
              </w:rPr>
              <w:t>52</w:t>
            </w:r>
          </w:p>
        </w:tc>
      </w:tr>
    </w:tbl>
    <w:p w:rsidR="007A1BBF" w:rsidRPr="00C46FE3" w:rsidRDefault="007A1BBF" w:rsidP="007A1BBF">
      <w:pPr>
        <w:autoSpaceDE w:val="0"/>
        <w:autoSpaceDN w:val="0"/>
        <w:adjustRightInd w:val="0"/>
        <w:spacing w:line="360" w:lineRule="auto"/>
        <w:ind w:left="708"/>
        <w:jc w:val="cente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Default="007A1BBF" w:rsidP="007A1BBF">
      <w:pPr>
        <w:autoSpaceDE w:val="0"/>
        <w:autoSpaceDN w:val="0"/>
        <w:adjustRightInd w:val="0"/>
        <w:spacing w:line="360" w:lineRule="auto"/>
        <w:ind w:left="708"/>
        <w:jc w:val="both"/>
        <w:rPr>
          <w:b/>
        </w:rPr>
      </w:pPr>
    </w:p>
    <w:p w:rsidR="007A1BBF" w:rsidRPr="00A7036C" w:rsidRDefault="007A1BBF" w:rsidP="007A1BBF">
      <w:pPr>
        <w:autoSpaceDE w:val="0"/>
        <w:autoSpaceDN w:val="0"/>
        <w:adjustRightInd w:val="0"/>
        <w:spacing w:line="360" w:lineRule="auto"/>
        <w:ind w:left="708"/>
        <w:jc w:val="both"/>
      </w:pPr>
      <w:r w:rsidRPr="009A371B">
        <w:rPr>
          <w:b/>
        </w:rPr>
        <w:t>Tabl</w:t>
      </w:r>
      <w:r>
        <w:rPr>
          <w:b/>
        </w:rPr>
        <w:t>e2</w:t>
      </w:r>
      <w:r w:rsidRPr="00F05A39">
        <w:t>Visual field defects of the cases</w:t>
      </w:r>
    </w:p>
    <w:tbl>
      <w:tblPr>
        <w:tblW w:w="5000" w:type="pct"/>
        <w:tblInd w:w="708" w:type="dxa"/>
        <w:tblBorders>
          <w:top w:val="single" w:sz="18" w:space="0" w:color="auto"/>
          <w:bottom w:val="single" w:sz="18" w:space="0" w:color="auto"/>
        </w:tblBorders>
        <w:tblLook w:val="01E0"/>
      </w:tblPr>
      <w:tblGrid>
        <w:gridCol w:w="3202"/>
        <w:gridCol w:w="830"/>
        <w:gridCol w:w="830"/>
        <w:gridCol w:w="968"/>
        <w:gridCol w:w="968"/>
        <w:gridCol w:w="830"/>
        <w:gridCol w:w="830"/>
        <w:gridCol w:w="830"/>
      </w:tblGrid>
      <w:tr w:rsidR="007A1BBF" w:rsidRPr="00D06B74" w:rsidTr="008D6D27">
        <w:trPr>
          <w:cantSplit/>
          <w:trHeight w:val="1809"/>
        </w:trPr>
        <w:tc>
          <w:tcPr>
            <w:tcW w:w="1724" w:type="pct"/>
            <w:shd w:val="clear" w:color="auto" w:fill="auto"/>
          </w:tcPr>
          <w:p w:rsidR="007A1BBF" w:rsidRPr="00D06B74" w:rsidRDefault="007A1BBF" w:rsidP="008D6D27">
            <w:pPr>
              <w:autoSpaceDE w:val="0"/>
              <w:autoSpaceDN w:val="0"/>
              <w:adjustRightInd w:val="0"/>
              <w:spacing w:before="120"/>
              <w:jc w:val="both"/>
              <w:rPr>
                <w:sz w:val="20"/>
                <w:szCs w:val="20"/>
              </w:rPr>
            </w:pPr>
          </w:p>
        </w:tc>
        <w:tc>
          <w:tcPr>
            <w:tcW w:w="447"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sidRPr="00C361C3">
              <w:rPr>
                <w:b/>
                <w:sz w:val="20"/>
                <w:szCs w:val="20"/>
              </w:rPr>
              <w:t>Non</w:t>
            </w:r>
            <w:r>
              <w:rPr>
                <w:b/>
                <w:sz w:val="20"/>
                <w:szCs w:val="20"/>
              </w:rPr>
              <w:t>-</w:t>
            </w:r>
            <w:r w:rsidRPr="00C361C3">
              <w:rPr>
                <w:b/>
                <w:sz w:val="20"/>
                <w:szCs w:val="20"/>
              </w:rPr>
              <w:t>f</w:t>
            </w:r>
            <w:r>
              <w:rPr>
                <w:b/>
                <w:sz w:val="20"/>
                <w:szCs w:val="20"/>
              </w:rPr>
              <w:t>u</w:t>
            </w:r>
            <w:r w:rsidRPr="00C361C3">
              <w:rPr>
                <w:b/>
                <w:sz w:val="20"/>
                <w:szCs w:val="20"/>
              </w:rPr>
              <w:t>n</w:t>
            </w:r>
            <w:r>
              <w:rPr>
                <w:b/>
                <w:sz w:val="20"/>
                <w:szCs w:val="20"/>
              </w:rPr>
              <w:t>ct</w:t>
            </w:r>
            <w:r w:rsidRPr="00C361C3">
              <w:rPr>
                <w:b/>
                <w:sz w:val="20"/>
                <w:szCs w:val="20"/>
              </w:rPr>
              <w:t>ion</w:t>
            </w:r>
            <w:r>
              <w:rPr>
                <w:b/>
                <w:sz w:val="20"/>
                <w:szCs w:val="20"/>
              </w:rPr>
              <w:t>a</w:t>
            </w:r>
            <w:r w:rsidRPr="00C361C3">
              <w:rPr>
                <w:b/>
                <w:sz w:val="20"/>
                <w:szCs w:val="20"/>
              </w:rPr>
              <w:t>l</w:t>
            </w:r>
          </w:p>
        </w:tc>
        <w:tc>
          <w:tcPr>
            <w:tcW w:w="447"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sidRPr="00C361C3">
              <w:rPr>
                <w:b/>
                <w:sz w:val="20"/>
                <w:szCs w:val="20"/>
              </w:rPr>
              <w:t>Prola</w:t>
            </w:r>
            <w:r>
              <w:rPr>
                <w:b/>
                <w:sz w:val="20"/>
                <w:szCs w:val="20"/>
              </w:rPr>
              <w:t>c</w:t>
            </w:r>
            <w:r w:rsidRPr="00C361C3">
              <w:rPr>
                <w:b/>
                <w:sz w:val="20"/>
                <w:szCs w:val="20"/>
              </w:rPr>
              <w:t>tinoma</w:t>
            </w:r>
          </w:p>
        </w:tc>
        <w:tc>
          <w:tcPr>
            <w:tcW w:w="521"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Pr>
                <w:b/>
                <w:sz w:val="20"/>
                <w:szCs w:val="20"/>
              </w:rPr>
              <w:t>C</w:t>
            </w:r>
            <w:r w:rsidRPr="00C361C3">
              <w:rPr>
                <w:b/>
                <w:sz w:val="20"/>
                <w:szCs w:val="20"/>
              </w:rPr>
              <w:t>orti</w:t>
            </w:r>
            <w:r>
              <w:rPr>
                <w:b/>
                <w:sz w:val="20"/>
                <w:szCs w:val="20"/>
              </w:rPr>
              <w:t>c</w:t>
            </w:r>
            <w:r w:rsidRPr="00C361C3">
              <w:rPr>
                <w:b/>
                <w:sz w:val="20"/>
                <w:szCs w:val="20"/>
              </w:rPr>
              <w:t>otropinoma</w:t>
            </w:r>
          </w:p>
        </w:tc>
        <w:tc>
          <w:tcPr>
            <w:tcW w:w="521"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sidRPr="00C361C3">
              <w:rPr>
                <w:b/>
                <w:sz w:val="20"/>
                <w:szCs w:val="20"/>
              </w:rPr>
              <w:t>Somatotropinoma</w:t>
            </w:r>
          </w:p>
        </w:tc>
        <w:tc>
          <w:tcPr>
            <w:tcW w:w="447"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sidRPr="00C361C3">
              <w:rPr>
                <w:b/>
                <w:sz w:val="20"/>
                <w:szCs w:val="20"/>
              </w:rPr>
              <w:t>PRL+ACTH</w:t>
            </w:r>
          </w:p>
        </w:tc>
        <w:tc>
          <w:tcPr>
            <w:tcW w:w="447"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sidRPr="00C361C3">
              <w:rPr>
                <w:b/>
                <w:sz w:val="20"/>
                <w:szCs w:val="20"/>
              </w:rPr>
              <w:t>PRL+GH</w:t>
            </w:r>
          </w:p>
        </w:tc>
        <w:tc>
          <w:tcPr>
            <w:tcW w:w="447" w:type="pct"/>
            <w:shd w:val="clear" w:color="auto" w:fill="auto"/>
            <w:textDirection w:val="btLr"/>
            <w:vAlign w:val="center"/>
          </w:tcPr>
          <w:p w:rsidR="007A1BBF" w:rsidRPr="00C361C3" w:rsidRDefault="007A1BBF" w:rsidP="008D6D27">
            <w:pPr>
              <w:autoSpaceDE w:val="0"/>
              <w:autoSpaceDN w:val="0"/>
              <w:adjustRightInd w:val="0"/>
              <w:spacing w:before="120"/>
              <w:ind w:left="113" w:right="113"/>
              <w:jc w:val="center"/>
              <w:rPr>
                <w:b/>
                <w:sz w:val="20"/>
                <w:szCs w:val="20"/>
              </w:rPr>
            </w:pPr>
            <w:r w:rsidRPr="00C361C3">
              <w:rPr>
                <w:b/>
                <w:sz w:val="20"/>
                <w:szCs w:val="20"/>
              </w:rPr>
              <w:t>To</w:t>
            </w:r>
            <w:r>
              <w:rPr>
                <w:b/>
                <w:sz w:val="20"/>
                <w:szCs w:val="20"/>
              </w:rPr>
              <w:t>tal</w:t>
            </w:r>
          </w:p>
        </w:tc>
      </w:tr>
      <w:tr w:rsidR="007A1BBF" w:rsidRPr="00D06B74" w:rsidTr="008D6D27">
        <w:tc>
          <w:tcPr>
            <w:tcW w:w="1724" w:type="pct"/>
            <w:shd w:val="pct10" w:color="auto" w:fill="auto"/>
          </w:tcPr>
          <w:p w:rsidR="007A1BBF" w:rsidRPr="00D06B74" w:rsidRDefault="007A1BBF" w:rsidP="008D6D27">
            <w:pPr>
              <w:autoSpaceDE w:val="0"/>
              <w:autoSpaceDN w:val="0"/>
              <w:adjustRightInd w:val="0"/>
              <w:spacing w:before="120"/>
              <w:rPr>
                <w:b/>
                <w:sz w:val="20"/>
                <w:szCs w:val="20"/>
              </w:rPr>
            </w:pPr>
            <w:r>
              <w:rPr>
                <w:b/>
                <w:sz w:val="20"/>
                <w:szCs w:val="20"/>
              </w:rPr>
              <w:t>Left</w:t>
            </w:r>
            <w:r w:rsidRPr="00D06B74">
              <w:rPr>
                <w:b/>
                <w:sz w:val="20"/>
                <w:szCs w:val="20"/>
              </w:rPr>
              <w:t xml:space="preserve"> THA</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8</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10</w:t>
            </w:r>
          </w:p>
        </w:tc>
      </w:tr>
      <w:tr w:rsidR="007A1BBF" w:rsidRPr="00D06B74" w:rsidTr="008D6D27">
        <w:tc>
          <w:tcPr>
            <w:tcW w:w="1724" w:type="pct"/>
            <w:shd w:val="clear" w:color="auto" w:fill="auto"/>
          </w:tcPr>
          <w:p w:rsidR="007A1BBF" w:rsidRPr="00D06B74" w:rsidRDefault="007A1BBF" w:rsidP="008D6D27">
            <w:pPr>
              <w:autoSpaceDE w:val="0"/>
              <w:autoSpaceDN w:val="0"/>
              <w:adjustRightInd w:val="0"/>
              <w:spacing w:before="120"/>
              <w:rPr>
                <w:b/>
                <w:sz w:val="20"/>
                <w:szCs w:val="20"/>
              </w:rPr>
            </w:pPr>
            <w:r>
              <w:rPr>
                <w:b/>
                <w:sz w:val="20"/>
                <w:szCs w:val="20"/>
              </w:rPr>
              <w:t>Right</w:t>
            </w:r>
            <w:r w:rsidRPr="00D06B74">
              <w:rPr>
                <w:b/>
                <w:sz w:val="20"/>
                <w:szCs w:val="20"/>
              </w:rPr>
              <w:t xml:space="preserve"> THA</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5</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3</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10</w:t>
            </w:r>
          </w:p>
        </w:tc>
      </w:tr>
      <w:tr w:rsidR="007A1BBF" w:rsidRPr="00D06B74" w:rsidTr="008D6D27">
        <w:tc>
          <w:tcPr>
            <w:tcW w:w="1724" w:type="pct"/>
            <w:shd w:val="pct10" w:color="auto" w:fill="auto"/>
          </w:tcPr>
          <w:p w:rsidR="007A1BBF" w:rsidRPr="00D06B74" w:rsidRDefault="007A1BBF" w:rsidP="008D6D27">
            <w:pPr>
              <w:autoSpaceDE w:val="0"/>
              <w:autoSpaceDN w:val="0"/>
              <w:adjustRightInd w:val="0"/>
              <w:spacing w:before="120"/>
              <w:rPr>
                <w:b/>
                <w:sz w:val="20"/>
                <w:szCs w:val="20"/>
              </w:rPr>
            </w:pPr>
            <w:r w:rsidRPr="00D06B74">
              <w:rPr>
                <w:b/>
                <w:sz w:val="20"/>
                <w:szCs w:val="20"/>
              </w:rPr>
              <w:t>B</w:t>
            </w:r>
            <w:r>
              <w:rPr>
                <w:b/>
                <w:sz w:val="20"/>
                <w:szCs w:val="20"/>
              </w:rPr>
              <w:t>i-</w:t>
            </w:r>
            <w:r w:rsidRPr="00D06B74">
              <w:rPr>
                <w:b/>
                <w:sz w:val="20"/>
                <w:szCs w:val="20"/>
              </w:rPr>
              <w:t>THA</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6</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2</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3</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12</w:t>
            </w:r>
          </w:p>
        </w:tc>
      </w:tr>
      <w:tr w:rsidR="007A1BBF" w:rsidRPr="00D06B74" w:rsidTr="008D6D27">
        <w:tc>
          <w:tcPr>
            <w:tcW w:w="1724" w:type="pct"/>
            <w:shd w:val="clear" w:color="auto" w:fill="auto"/>
          </w:tcPr>
          <w:p w:rsidR="007A1BBF" w:rsidRPr="00D06B74" w:rsidRDefault="007A1BBF" w:rsidP="008D6D27">
            <w:pPr>
              <w:autoSpaceDE w:val="0"/>
              <w:autoSpaceDN w:val="0"/>
              <w:adjustRightInd w:val="0"/>
              <w:spacing w:before="120"/>
              <w:rPr>
                <w:b/>
                <w:sz w:val="20"/>
                <w:szCs w:val="20"/>
              </w:rPr>
            </w:pPr>
            <w:r>
              <w:rPr>
                <w:b/>
                <w:sz w:val="20"/>
                <w:szCs w:val="20"/>
              </w:rPr>
              <w:t>Left amaurosis</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5</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5</w:t>
            </w:r>
          </w:p>
        </w:tc>
      </w:tr>
      <w:tr w:rsidR="007A1BBF" w:rsidRPr="00D06B74" w:rsidTr="008D6D27">
        <w:tc>
          <w:tcPr>
            <w:tcW w:w="1724" w:type="pct"/>
            <w:shd w:val="pct10" w:color="auto" w:fill="auto"/>
          </w:tcPr>
          <w:p w:rsidR="007A1BBF" w:rsidRPr="00D06B74" w:rsidRDefault="007A1BBF" w:rsidP="008D6D27">
            <w:pPr>
              <w:autoSpaceDE w:val="0"/>
              <w:autoSpaceDN w:val="0"/>
              <w:adjustRightInd w:val="0"/>
              <w:spacing w:before="120"/>
              <w:rPr>
                <w:b/>
                <w:sz w:val="20"/>
                <w:szCs w:val="20"/>
              </w:rPr>
            </w:pPr>
            <w:r>
              <w:rPr>
                <w:b/>
                <w:sz w:val="20"/>
                <w:szCs w:val="20"/>
              </w:rPr>
              <w:t>Right amaurosis</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r>
      <w:tr w:rsidR="007A1BBF" w:rsidRPr="00D06B74" w:rsidTr="008D6D27">
        <w:tc>
          <w:tcPr>
            <w:tcW w:w="1724" w:type="pct"/>
            <w:shd w:val="clear" w:color="auto" w:fill="auto"/>
          </w:tcPr>
          <w:p w:rsidR="007A1BBF" w:rsidRPr="00D06B74" w:rsidRDefault="007A1BBF" w:rsidP="008D6D27">
            <w:pPr>
              <w:autoSpaceDE w:val="0"/>
              <w:autoSpaceDN w:val="0"/>
              <w:adjustRightInd w:val="0"/>
              <w:spacing w:before="120"/>
              <w:rPr>
                <w:b/>
                <w:sz w:val="20"/>
                <w:szCs w:val="20"/>
              </w:rPr>
            </w:pPr>
            <w:r>
              <w:rPr>
                <w:b/>
                <w:sz w:val="20"/>
                <w:szCs w:val="20"/>
              </w:rPr>
              <w:t>Left amaurosis+Right</w:t>
            </w:r>
            <w:r w:rsidRPr="00D06B74">
              <w:rPr>
                <w:b/>
                <w:sz w:val="20"/>
                <w:szCs w:val="20"/>
              </w:rPr>
              <w:t xml:space="preserve"> THA</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r>
      <w:tr w:rsidR="007A1BBF" w:rsidRPr="00D06B74" w:rsidTr="008D6D27">
        <w:tc>
          <w:tcPr>
            <w:tcW w:w="1724" w:type="pct"/>
            <w:shd w:val="pct10" w:color="auto" w:fill="auto"/>
          </w:tcPr>
          <w:p w:rsidR="007A1BBF" w:rsidRPr="00D06B74" w:rsidRDefault="007A1BBF" w:rsidP="008D6D27">
            <w:pPr>
              <w:autoSpaceDE w:val="0"/>
              <w:autoSpaceDN w:val="0"/>
              <w:adjustRightInd w:val="0"/>
              <w:spacing w:before="120"/>
              <w:rPr>
                <w:b/>
                <w:sz w:val="20"/>
                <w:szCs w:val="20"/>
              </w:rPr>
            </w:pPr>
            <w:r>
              <w:rPr>
                <w:b/>
                <w:sz w:val="20"/>
                <w:szCs w:val="20"/>
              </w:rPr>
              <w:t>Right amaurosis+ Left</w:t>
            </w:r>
            <w:r w:rsidRPr="00D06B74">
              <w:rPr>
                <w:b/>
                <w:sz w:val="20"/>
                <w:szCs w:val="20"/>
              </w:rPr>
              <w:t xml:space="preserve"> THA</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1</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521"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w:t>
            </w:r>
          </w:p>
        </w:tc>
        <w:tc>
          <w:tcPr>
            <w:tcW w:w="447" w:type="pct"/>
            <w:shd w:val="pct10"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2</w:t>
            </w:r>
          </w:p>
        </w:tc>
      </w:tr>
      <w:tr w:rsidR="007A1BBF" w:rsidRPr="00D06B74" w:rsidTr="008D6D27">
        <w:tc>
          <w:tcPr>
            <w:tcW w:w="1724" w:type="pct"/>
            <w:shd w:val="clear" w:color="auto" w:fill="auto"/>
          </w:tcPr>
          <w:p w:rsidR="007A1BBF" w:rsidRPr="00D06B74" w:rsidRDefault="007A1BBF" w:rsidP="008D6D27">
            <w:pPr>
              <w:autoSpaceDE w:val="0"/>
              <w:autoSpaceDN w:val="0"/>
              <w:adjustRightInd w:val="0"/>
              <w:spacing w:before="120"/>
              <w:rPr>
                <w:b/>
                <w:sz w:val="20"/>
                <w:szCs w:val="20"/>
              </w:rPr>
            </w:pPr>
            <w:r>
              <w:rPr>
                <w:b/>
                <w:sz w:val="20"/>
                <w:szCs w:val="20"/>
              </w:rPr>
              <w:t>Total</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26</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5</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4</w:t>
            </w:r>
          </w:p>
        </w:tc>
        <w:tc>
          <w:tcPr>
            <w:tcW w:w="521"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6</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0</w:t>
            </w:r>
          </w:p>
        </w:tc>
        <w:tc>
          <w:tcPr>
            <w:tcW w:w="447" w:type="pct"/>
            <w:shd w:val="clear" w:color="auto" w:fill="auto"/>
          </w:tcPr>
          <w:p w:rsidR="007A1BBF" w:rsidRPr="00D06B74" w:rsidRDefault="007A1BBF" w:rsidP="008D6D27">
            <w:pPr>
              <w:autoSpaceDE w:val="0"/>
              <w:autoSpaceDN w:val="0"/>
              <w:adjustRightInd w:val="0"/>
              <w:spacing w:before="120"/>
              <w:jc w:val="center"/>
              <w:rPr>
                <w:sz w:val="20"/>
                <w:szCs w:val="20"/>
              </w:rPr>
            </w:pPr>
            <w:r w:rsidRPr="00D06B74">
              <w:rPr>
                <w:sz w:val="20"/>
                <w:szCs w:val="20"/>
              </w:rPr>
              <w:t>0</w:t>
            </w:r>
          </w:p>
        </w:tc>
        <w:tc>
          <w:tcPr>
            <w:tcW w:w="447" w:type="pct"/>
            <w:shd w:val="clear" w:color="auto" w:fill="auto"/>
          </w:tcPr>
          <w:p w:rsidR="007A1BBF" w:rsidRPr="00C361C3" w:rsidRDefault="007A1BBF" w:rsidP="008D6D27">
            <w:pPr>
              <w:autoSpaceDE w:val="0"/>
              <w:autoSpaceDN w:val="0"/>
              <w:adjustRightInd w:val="0"/>
              <w:spacing w:before="120"/>
              <w:jc w:val="center"/>
              <w:rPr>
                <w:sz w:val="20"/>
                <w:szCs w:val="20"/>
              </w:rPr>
            </w:pPr>
            <w:r w:rsidRPr="00C361C3">
              <w:rPr>
                <w:sz w:val="20"/>
                <w:szCs w:val="20"/>
              </w:rPr>
              <w:t>41</w:t>
            </w:r>
          </w:p>
        </w:tc>
      </w:tr>
    </w:tbl>
    <w:p w:rsidR="007A1BBF" w:rsidRPr="009A371B" w:rsidRDefault="007A1BBF" w:rsidP="007A1BBF">
      <w:pPr>
        <w:autoSpaceDE w:val="0"/>
        <w:autoSpaceDN w:val="0"/>
        <w:adjustRightInd w:val="0"/>
        <w:spacing w:before="120"/>
        <w:ind w:left="708"/>
        <w:jc w:val="both"/>
        <w:rPr>
          <w:sz w:val="20"/>
          <w:szCs w:val="20"/>
        </w:rPr>
      </w:pPr>
      <w:proofErr w:type="gramStart"/>
      <w:r w:rsidRPr="009A371B">
        <w:rPr>
          <w:sz w:val="20"/>
          <w:szCs w:val="20"/>
        </w:rPr>
        <w:t>THA:Temporal</w:t>
      </w:r>
      <w:proofErr w:type="gramEnd"/>
      <w:r w:rsidRPr="009A371B">
        <w:rPr>
          <w:sz w:val="20"/>
          <w:szCs w:val="20"/>
        </w:rPr>
        <w:t xml:space="preserve"> hemianopsi</w:t>
      </w:r>
      <w:r>
        <w:rPr>
          <w:sz w:val="20"/>
          <w:szCs w:val="20"/>
        </w:rPr>
        <w:t>a</w:t>
      </w:r>
    </w:p>
    <w:p w:rsidR="007A1BBF" w:rsidRDefault="007A1BBF" w:rsidP="007A1BBF">
      <w:pPr>
        <w:pStyle w:val="Balk6"/>
        <w:spacing w:before="0" w:after="0" w:line="360" w:lineRule="auto"/>
        <w:ind w:left="708"/>
        <w:rPr>
          <w:rFonts w:ascii="Times New Roman" w:hAnsi="Times New Roman"/>
          <w:sz w:val="24"/>
          <w:szCs w:val="24"/>
        </w:rPr>
      </w:pPr>
      <w:bookmarkStart w:id="2" w:name="_Toc308014122"/>
    </w:p>
    <w:p w:rsidR="007A1BBF" w:rsidRPr="007237DB" w:rsidRDefault="007A1BBF" w:rsidP="007A1BBF">
      <w:pPr>
        <w:pStyle w:val="Balk6"/>
        <w:spacing w:before="0" w:after="0" w:line="360" w:lineRule="auto"/>
        <w:ind w:left="708"/>
        <w:rPr>
          <w:rFonts w:ascii="Times New Roman" w:hAnsi="Times New Roman"/>
          <w:b w:val="0"/>
          <w:sz w:val="24"/>
          <w:szCs w:val="24"/>
        </w:rPr>
      </w:pPr>
      <w:r>
        <w:rPr>
          <w:rFonts w:ascii="Times New Roman" w:hAnsi="Times New Roman"/>
          <w:sz w:val="24"/>
          <w:szCs w:val="24"/>
        </w:rPr>
        <w:t>Table 3</w:t>
      </w:r>
      <w:r w:rsidRPr="00E158BB">
        <w:rPr>
          <w:rFonts w:ascii="Times New Roman" w:hAnsi="Times New Roman"/>
          <w:sz w:val="24"/>
          <w:szCs w:val="24"/>
        </w:rPr>
        <w:t>.</w:t>
      </w:r>
      <w:bookmarkEnd w:id="2"/>
      <w:r>
        <w:rPr>
          <w:rFonts w:ascii="Times New Roman" w:hAnsi="Times New Roman"/>
          <w:b w:val="0"/>
          <w:sz w:val="24"/>
          <w:szCs w:val="24"/>
        </w:rPr>
        <w:t>Types of the adenomas.</w:t>
      </w:r>
    </w:p>
    <w:tbl>
      <w:tblPr>
        <w:tblW w:w="8719" w:type="dxa"/>
        <w:tblInd w:w="708" w:type="dxa"/>
        <w:tblBorders>
          <w:top w:val="single" w:sz="18" w:space="0" w:color="auto"/>
          <w:bottom w:val="single" w:sz="18" w:space="0" w:color="auto"/>
        </w:tblBorders>
        <w:tblLook w:val="01E0"/>
      </w:tblPr>
      <w:tblGrid>
        <w:gridCol w:w="1136"/>
        <w:gridCol w:w="1817"/>
        <w:gridCol w:w="941"/>
        <w:gridCol w:w="989"/>
        <w:gridCol w:w="1087"/>
        <w:gridCol w:w="1222"/>
        <w:gridCol w:w="1527"/>
      </w:tblGrid>
      <w:tr w:rsidR="007A1BBF" w:rsidRPr="00D06B74" w:rsidTr="008D6D27">
        <w:tc>
          <w:tcPr>
            <w:tcW w:w="1136"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p>
        </w:tc>
        <w:tc>
          <w:tcPr>
            <w:tcW w:w="1817"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b/>
                <w:sz w:val="20"/>
                <w:szCs w:val="20"/>
              </w:rPr>
            </w:pPr>
            <w:r>
              <w:rPr>
                <w:b/>
                <w:sz w:val="20"/>
                <w:szCs w:val="20"/>
              </w:rPr>
              <w:t>Non-functional</w:t>
            </w:r>
          </w:p>
        </w:tc>
        <w:tc>
          <w:tcPr>
            <w:tcW w:w="941"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b/>
                <w:sz w:val="20"/>
                <w:szCs w:val="20"/>
              </w:rPr>
            </w:pPr>
            <w:r w:rsidRPr="00D06B74">
              <w:rPr>
                <w:b/>
                <w:sz w:val="20"/>
                <w:szCs w:val="20"/>
              </w:rPr>
              <w:t>GH</w:t>
            </w:r>
          </w:p>
        </w:tc>
        <w:tc>
          <w:tcPr>
            <w:tcW w:w="989"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b/>
                <w:sz w:val="20"/>
                <w:szCs w:val="20"/>
              </w:rPr>
            </w:pPr>
            <w:r w:rsidRPr="00D06B74">
              <w:rPr>
                <w:b/>
                <w:sz w:val="20"/>
                <w:szCs w:val="20"/>
              </w:rPr>
              <w:t>PRL</w:t>
            </w:r>
          </w:p>
        </w:tc>
        <w:tc>
          <w:tcPr>
            <w:tcW w:w="1087"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b/>
                <w:sz w:val="20"/>
                <w:szCs w:val="20"/>
              </w:rPr>
            </w:pPr>
            <w:r w:rsidRPr="00D06B74">
              <w:rPr>
                <w:b/>
                <w:sz w:val="20"/>
                <w:szCs w:val="20"/>
              </w:rPr>
              <w:t>ACTH</w:t>
            </w:r>
          </w:p>
        </w:tc>
        <w:tc>
          <w:tcPr>
            <w:tcW w:w="1222"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b/>
                <w:sz w:val="20"/>
                <w:szCs w:val="20"/>
              </w:rPr>
            </w:pPr>
            <w:r w:rsidRPr="00D06B74">
              <w:rPr>
                <w:b/>
                <w:sz w:val="20"/>
                <w:szCs w:val="20"/>
              </w:rPr>
              <w:t>PRL+GH</w:t>
            </w:r>
          </w:p>
        </w:tc>
        <w:tc>
          <w:tcPr>
            <w:tcW w:w="1527" w:type="dxa"/>
            <w:tcBorders>
              <w:bottom w:val="single" w:sz="18" w:space="0" w:color="auto"/>
            </w:tcBorders>
            <w:shd w:val="clear" w:color="auto" w:fill="auto"/>
          </w:tcPr>
          <w:p w:rsidR="007A1BBF" w:rsidRPr="00D06B74" w:rsidRDefault="007A1BBF" w:rsidP="008D6D27">
            <w:pPr>
              <w:tabs>
                <w:tab w:val="left" w:pos="360"/>
              </w:tabs>
              <w:autoSpaceDE w:val="0"/>
              <w:autoSpaceDN w:val="0"/>
              <w:adjustRightInd w:val="0"/>
              <w:spacing w:before="120"/>
              <w:jc w:val="center"/>
              <w:rPr>
                <w:b/>
                <w:sz w:val="20"/>
                <w:szCs w:val="20"/>
              </w:rPr>
            </w:pPr>
            <w:r w:rsidRPr="00D06B74">
              <w:rPr>
                <w:b/>
                <w:sz w:val="20"/>
                <w:szCs w:val="20"/>
              </w:rPr>
              <w:t>PRL+ACTH</w:t>
            </w:r>
          </w:p>
        </w:tc>
      </w:tr>
      <w:tr w:rsidR="007A1BBF" w:rsidRPr="00D06B74" w:rsidTr="008D6D27">
        <w:tc>
          <w:tcPr>
            <w:tcW w:w="1136"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rPr>
                <w:b/>
                <w:sz w:val="20"/>
                <w:szCs w:val="20"/>
              </w:rPr>
            </w:pPr>
            <w:r>
              <w:rPr>
                <w:b/>
                <w:sz w:val="20"/>
                <w:szCs w:val="20"/>
              </w:rPr>
              <w:t>Typical</w:t>
            </w:r>
          </w:p>
        </w:tc>
        <w:tc>
          <w:tcPr>
            <w:tcW w:w="1817"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36</w:t>
            </w:r>
          </w:p>
        </w:tc>
        <w:tc>
          <w:tcPr>
            <w:tcW w:w="941"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13</w:t>
            </w:r>
          </w:p>
        </w:tc>
        <w:tc>
          <w:tcPr>
            <w:tcW w:w="989"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5</w:t>
            </w:r>
          </w:p>
        </w:tc>
        <w:tc>
          <w:tcPr>
            <w:tcW w:w="1087"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11</w:t>
            </w:r>
          </w:p>
        </w:tc>
        <w:tc>
          <w:tcPr>
            <w:tcW w:w="1222"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2</w:t>
            </w:r>
          </w:p>
        </w:tc>
        <w:tc>
          <w:tcPr>
            <w:tcW w:w="1527" w:type="dxa"/>
            <w:tcBorders>
              <w:top w:val="single" w:sz="18" w:space="0" w:color="auto"/>
              <w:bottom w:val="nil"/>
            </w:tcBorders>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w:t>
            </w:r>
          </w:p>
        </w:tc>
      </w:tr>
      <w:tr w:rsidR="007A1BBF" w:rsidRPr="00D06B74" w:rsidTr="008D6D27">
        <w:tc>
          <w:tcPr>
            <w:tcW w:w="1136" w:type="dxa"/>
            <w:tcBorders>
              <w:top w:val="nil"/>
            </w:tcBorders>
            <w:shd w:val="clear" w:color="auto" w:fill="auto"/>
          </w:tcPr>
          <w:p w:rsidR="007A1BBF" w:rsidRPr="00D06B74" w:rsidRDefault="007A1BBF" w:rsidP="008D6D27">
            <w:pPr>
              <w:tabs>
                <w:tab w:val="left" w:pos="360"/>
              </w:tabs>
              <w:autoSpaceDE w:val="0"/>
              <w:autoSpaceDN w:val="0"/>
              <w:adjustRightInd w:val="0"/>
              <w:spacing w:before="120"/>
              <w:rPr>
                <w:b/>
                <w:sz w:val="20"/>
                <w:szCs w:val="20"/>
              </w:rPr>
            </w:pPr>
            <w:r>
              <w:rPr>
                <w:b/>
                <w:sz w:val="20"/>
                <w:szCs w:val="20"/>
              </w:rPr>
              <w:t>Atypical</w:t>
            </w:r>
          </w:p>
        </w:tc>
        <w:tc>
          <w:tcPr>
            <w:tcW w:w="1817" w:type="dxa"/>
            <w:tcBorders>
              <w:top w:val="nil"/>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6</w:t>
            </w:r>
          </w:p>
        </w:tc>
        <w:tc>
          <w:tcPr>
            <w:tcW w:w="941" w:type="dxa"/>
            <w:tcBorders>
              <w:top w:val="nil"/>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2</w:t>
            </w:r>
          </w:p>
        </w:tc>
        <w:tc>
          <w:tcPr>
            <w:tcW w:w="989" w:type="dxa"/>
            <w:tcBorders>
              <w:top w:val="nil"/>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3</w:t>
            </w:r>
          </w:p>
        </w:tc>
        <w:tc>
          <w:tcPr>
            <w:tcW w:w="1087" w:type="dxa"/>
            <w:tcBorders>
              <w:top w:val="nil"/>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w:t>
            </w:r>
          </w:p>
        </w:tc>
        <w:tc>
          <w:tcPr>
            <w:tcW w:w="1222" w:type="dxa"/>
            <w:tcBorders>
              <w:top w:val="nil"/>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w:t>
            </w:r>
          </w:p>
        </w:tc>
        <w:tc>
          <w:tcPr>
            <w:tcW w:w="1527" w:type="dxa"/>
            <w:tcBorders>
              <w:top w:val="nil"/>
            </w:tcBorders>
            <w:shd w:val="clear"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w:t>
            </w:r>
          </w:p>
        </w:tc>
      </w:tr>
      <w:tr w:rsidR="007A1BBF" w:rsidRPr="00D06B74" w:rsidTr="008D6D27">
        <w:tc>
          <w:tcPr>
            <w:tcW w:w="1136" w:type="dxa"/>
            <w:shd w:val="pct10" w:color="auto" w:fill="auto"/>
          </w:tcPr>
          <w:p w:rsidR="007A1BBF" w:rsidRPr="00D06B74" w:rsidRDefault="007A1BBF" w:rsidP="008D6D27">
            <w:pPr>
              <w:tabs>
                <w:tab w:val="left" w:pos="360"/>
              </w:tabs>
              <w:autoSpaceDE w:val="0"/>
              <w:autoSpaceDN w:val="0"/>
              <w:adjustRightInd w:val="0"/>
              <w:spacing w:before="120"/>
              <w:rPr>
                <w:b/>
                <w:sz w:val="20"/>
                <w:szCs w:val="20"/>
              </w:rPr>
            </w:pPr>
            <w:r>
              <w:rPr>
                <w:b/>
                <w:sz w:val="20"/>
                <w:szCs w:val="20"/>
              </w:rPr>
              <w:t>Total</w:t>
            </w:r>
          </w:p>
        </w:tc>
        <w:tc>
          <w:tcPr>
            <w:tcW w:w="1817" w:type="dxa"/>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42</w:t>
            </w:r>
          </w:p>
        </w:tc>
        <w:tc>
          <w:tcPr>
            <w:tcW w:w="941" w:type="dxa"/>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15</w:t>
            </w:r>
          </w:p>
        </w:tc>
        <w:tc>
          <w:tcPr>
            <w:tcW w:w="989" w:type="dxa"/>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8</w:t>
            </w:r>
          </w:p>
        </w:tc>
        <w:tc>
          <w:tcPr>
            <w:tcW w:w="1087" w:type="dxa"/>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12</w:t>
            </w:r>
          </w:p>
        </w:tc>
        <w:tc>
          <w:tcPr>
            <w:tcW w:w="1222" w:type="dxa"/>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2</w:t>
            </w:r>
          </w:p>
        </w:tc>
        <w:tc>
          <w:tcPr>
            <w:tcW w:w="1527" w:type="dxa"/>
            <w:shd w:val="pct10" w:color="auto" w:fill="auto"/>
          </w:tcPr>
          <w:p w:rsidR="007A1BBF" w:rsidRPr="00D06B74" w:rsidRDefault="007A1BBF" w:rsidP="008D6D27">
            <w:pPr>
              <w:tabs>
                <w:tab w:val="left" w:pos="360"/>
              </w:tabs>
              <w:autoSpaceDE w:val="0"/>
              <w:autoSpaceDN w:val="0"/>
              <w:adjustRightInd w:val="0"/>
              <w:spacing w:before="120"/>
              <w:jc w:val="center"/>
              <w:rPr>
                <w:sz w:val="20"/>
                <w:szCs w:val="20"/>
              </w:rPr>
            </w:pPr>
            <w:r w:rsidRPr="00D06B74">
              <w:rPr>
                <w:sz w:val="20"/>
                <w:szCs w:val="20"/>
              </w:rPr>
              <w:t>1</w:t>
            </w:r>
          </w:p>
        </w:tc>
      </w:tr>
    </w:tbl>
    <w:p w:rsidR="007A1BBF" w:rsidRDefault="007A1BBF" w:rsidP="007A1BBF">
      <w:pPr>
        <w:autoSpaceDE w:val="0"/>
        <w:autoSpaceDN w:val="0"/>
        <w:adjustRightInd w:val="0"/>
        <w:spacing w:line="360" w:lineRule="auto"/>
        <w:ind w:left="708"/>
        <w:jc w:val="center"/>
      </w:pPr>
    </w:p>
    <w:p w:rsidR="007A1BBF" w:rsidRDefault="007A1BBF" w:rsidP="007A1BBF">
      <w:pPr>
        <w:autoSpaceDE w:val="0"/>
        <w:autoSpaceDN w:val="0"/>
        <w:adjustRightInd w:val="0"/>
        <w:spacing w:line="360" w:lineRule="auto"/>
        <w:ind w:left="708"/>
        <w:jc w:val="center"/>
        <w:rPr>
          <w:rFonts w:ascii="Times New Roman" w:hAnsi="Times New Roman" w:cs="Times New Roman"/>
          <w:sz w:val="24"/>
          <w:szCs w:val="24"/>
        </w:rPr>
      </w:pPr>
    </w:p>
    <w:p w:rsidR="007A1BBF" w:rsidRDefault="007A1BBF" w:rsidP="007A1BBF">
      <w:pPr>
        <w:autoSpaceDE w:val="0"/>
        <w:autoSpaceDN w:val="0"/>
        <w:adjustRightInd w:val="0"/>
        <w:spacing w:line="360" w:lineRule="auto"/>
        <w:ind w:left="708"/>
        <w:jc w:val="center"/>
        <w:rPr>
          <w:rFonts w:ascii="Times New Roman" w:hAnsi="Times New Roman" w:cs="Times New Roman"/>
          <w:sz w:val="24"/>
          <w:szCs w:val="24"/>
        </w:rPr>
      </w:pPr>
    </w:p>
    <w:p w:rsidR="007A1BBF" w:rsidRPr="00C71196" w:rsidRDefault="007A1BBF" w:rsidP="007A1BBF">
      <w:pPr>
        <w:autoSpaceDE w:val="0"/>
        <w:autoSpaceDN w:val="0"/>
        <w:adjustRightInd w:val="0"/>
        <w:spacing w:line="360" w:lineRule="auto"/>
        <w:ind w:left="708"/>
        <w:jc w:val="center"/>
        <w:rPr>
          <w:rFonts w:ascii="Times New Roman" w:hAnsi="Times New Roman" w:cs="Times New Roman"/>
          <w:sz w:val="24"/>
          <w:szCs w:val="24"/>
        </w:rPr>
      </w:pPr>
    </w:p>
    <w:p w:rsidR="007A1BBF" w:rsidRDefault="007A1BBF" w:rsidP="007A1BBF">
      <w:pPr>
        <w:autoSpaceDE w:val="0"/>
        <w:autoSpaceDN w:val="0"/>
        <w:adjustRightInd w:val="0"/>
        <w:spacing w:line="360" w:lineRule="auto"/>
        <w:ind w:left="708"/>
        <w:jc w:val="both"/>
        <w:rPr>
          <w:rFonts w:ascii="Times New Roman" w:hAnsi="Times New Roman" w:cs="Times New Roman"/>
          <w:b/>
          <w:sz w:val="24"/>
          <w:szCs w:val="24"/>
        </w:rPr>
      </w:pPr>
    </w:p>
    <w:p w:rsidR="007A1BBF" w:rsidRPr="00C71196" w:rsidRDefault="007A1BBF" w:rsidP="007A1BBF">
      <w:pPr>
        <w:autoSpaceDE w:val="0"/>
        <w:autoSpaceDN w:val="0"/>
        <w:adjustRightInd w:val="0"/>
        <w:spacing w:line="360" w:lineRule="auto"/>
        <w:ind w:left="708"/>
        <w:jc w:val="both"/>
        <w:rPr>
          <w:rFonts w:ascii="Times New Roman" w:hAnsi="Times New Roman" w:cs="Times New Roman"/>
          <w:sz w:val="24"/>
          <w:szCs w:val="24"/>
        </w:rPr>
      </w:pPr>
      <w:r w:rsidRPr="00C71196">
        <w:rPr>
          <w:rFonts w:ascii="Times New Roman" w:hAnsi="Times New Roman" w:cs="Times New Roman"/>
          <w:b/>
          <w:sz w:val="24"/>
          <w:szCs w:val="24"/>
        </w:rPr>
        <w:lastRenderedPageBreak/>
        <w:t>Table 4</w:t>
      </w:r>
      <w:r w:rsidRPr="00C71196">
        <w:rPr>
          <w:rFonts w:ascii="Times New Roman" w:hAnsi="Times New Roman" w:cs="Times New Roman"/>
          <w:sz w:val="24"/>
          <w:szCs w:val="24"/>
        </w:rPr>
        <w:t xml:space="preserve">. Evaluation of the adenomas according to Knosp, </w:t>
      </w:r>
      <w:r>
        <w:rPr>
          <w:rFonts w:ascii="Times New Roman" w:hAnsi="Times New Roman" w:cs="Times New Roman"/>
          <w:sz w:val="24"/>
          <w:szCs w:val="24"/>
        </w:rPr>
        <w:t>Hardy and Vezina classifications</w:t>
      </w:r>
      <w:r w:rsidRPr="00C71196">
        <w:rPr>
          <w:rFonts w:ascii="Times New Roman" w:hAnsi="Times New Roman" w:cs="Times New Roman"/>
          <w:sz w:val="24"/>
          <w:szCs w:val="24"/>
        </w:rPr>
        <w:t>.</w:t>
      </w:r>
    </w:p>
    <w:tbl>
      <w:tblPr>
        <w:tblStyle w:val="TabloKlavuzu"/>
        <w:tblW w:w="9212" w:type="dxa"/>
        <w:tblInd w:w="708" w:type="dxa"/>
        <w:tblLook w:val="04A0"/>
      </w:tblPr>
      <w:tblGrid>
        <w:gridCol w:w="1535"/>
        <w:gridCol w:w="1535"/>
        <w:gridCol w:w="1535"/>
        <w:gridCol w:w="1535"/>
        <w:gridCol w:w="1536"/>
        <w:gridCol w:w="1536"/>
      </w:tblGrid>
      <w:tr w:rsidR="007A1BBF" w:rsidRPr="00C71196" w:rsidTr="008D6D27">
        <w:tc>
          <w:tcPr>
            <w:tcW w:w="1535" w:type="dxa"/>
            <w:tcBorders>
              <w:bottom w:val="triple" w:sz="4" w:space="0" w:color="auto"/>
              <w:right w:val="nil"/>
            </w:tcBorders>
          </w:tcPr>
          <w:p w:rsidR="007A1BBF" w:rsidRPr="00C71196" w:rsidRDefault="007A1BBF" w:rsidP="008D6D27">
            <w:pPr>
              <w:autoSpaceDE w:val="0"/>
              <w:autoSpaceDN w:val="0"/>
              <w:adjustRightInd w:val="0"/>
              <w:spacing w:line="360" w:lineRule="auto"/>
              <w:jc w:val="right"/>
              <w:rPr>
                <w:rFonts w:ascii="Times New Roman" w:hAnsi="Times New Roman" w:cs="Times New Roman"/>
                <w:b/>
                <w:sz w:val="24"/>
                <w:szCs w:val="24"/>
              </w:rPr>
            </w:pPr>
            <w:r w:rsidRPr="00C71196">
              <w:rPr>
                <w:rFonts w:ascii="Times New Roman" w:hAnsi="Times New Roman" w:cs="Times New Roman"/>
                <w:b/>
                <w:sz w:val="24"/>
                <w:szCs w:val="24"/>
              </w:rPr>
              <w:t xml:space="preserve">Knosp </w:t>
            </w:r>
          </w:p>
        </w:tc>
        <w:tc>
          <w:tcPr>
            <w:tcW w:w="1535" w:type="dxa"/>
            <w:tcBorders>
              <w:left w:val="nil"/>
              <w:bottom w:val="trip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w:t>
            </w:r>
          </w:p>
        </w:tc>
        <w:tc>
          <w:tcPr>
            <w:tcW w:w="1535" w:type="dxa"/>
            <w:tcBorders>
              <w:left w:val="triple" w:sz="4" w:space="0" w:color="auto"/>
              <w:bottom w:val="triple" w:sz="4" w:space="0" w:color="auto"/>
              <w:right w:val="nil"/>
            </w:tcBorders>
          </w:tcPr>
          <w:p w:rsidR="007A1BBF" w:rsidRPr="00C71196" w:rsidRDefault="007A1BBF" w:rsidP="008D6D27">
            <w:pPr>
              <w:autoSpaceDE w:val="0"/>
              <w:autoSpaceDN w:val="0"/>
              <w:adjustRightInd w:val="0"/>
              <w:spacing w:line="360" w:lineRule="auto"/>
              <w:jc w:val="right"/>
              <w:rPr>
                <w:rFonts w:ascii="Times New Roman" w:hAnsi="Times New Roman" w:cs="Times New Roman"/>
                <w:b/>
                <w:sz w:val="24"/>
                <w:szCs w:val="24"/>
              </w:rPr>
            </w:pPr>
            <w:r w:rsidRPr="00C71196">
              <w:rPr>
                <w:rFonts w:ascii="Times New Roman" w:hAnsi="Times New Roman" w:cs="Times New Roman"/>
                <w:b/>
                <w:sz w:val="24"/>
                <w:szCs w:val="24"/>
              </w:rPr>
              <w:t>Hardy</w:t>
            </w:r>
          </w:p>
        </w:tc>
        <w:tc>
          <w:tcPr>
            <w:tcW w:w="1535" w:type="dxa"/>
            <w:tcBorders>
              <w:left w:val="nil"/>
              <w:bottom w:val="trip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w:t>
            </w:r>
          </w:p>
        </w:tc>
        <w:tc>
          <w:tcPr>
            <w:tcW w:w="1536" w:type="dxa"/>
            <w:tcBorders>
              <w:left w:val="triple" w:sz="4" w:space="0" w:color="auto"/>
              <w:bottom w:val="triple" w:sz="4" w:space="0" w:color="auto"/>
              <w:right w:val="nil"/>
            </w:tcBorders>
          </w:tcPr>
          <w:p w:rsidR="007A1BBF" w:rsidRPr="00C71196" w:rsidRDefault="007A1BBF" w:rsidP="008D6D27">
            <w:pPr>
              <w:autoSpaceDE w:val="0"/>
              <w:autoSpaceDN w:val="0"/>
              <w:adjustRightInd w:val="0"/>
              <w:spacing w:line="360" w:lineRule="auto"/>
              <w:jc w:val="right"/>
              <w:rPr>
                <w:rFonts w:ascii="Times New Roman" w:hAnsi="Times New Roman" w:cs="Times New Roman"/>
                <w:b/>
                <w:sz w:val="24"/>
                <w:szCs w:val="24"/>
              </w:rPr>
            </w:pPr>
            <w:r w:rsidRPr="00C71196">
              <w:rPr>
                <w:rFonts w:ascii="Times New Roman" w:hAnsi="Times New Roman" w:cs="Times New Roman"/>
                <w:b/>
                <w:sz w:val="24"/>
                <w:szCs w:val="24"/>
              </w:rPr>
              <w:t>Vezina</w:t>
            </w:r>
          </w:p>
        </w:tc>
        <w:tc>
          <w:tcPr>
            <w:tcW w:w="1536" w:type="dxa"/>
            <w:tcBorders>
              <w:left w:val="nil"/>
              <w:bottom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w:t>
            </w:r>
          </w:p>
        </w:tc>
      </w:tr>
      <w:tr w:rsidR="007A1BBF" w:rsidRPr="00C71196" w:rsidTr="008D6D27">
        <w:tc>
          <w:tcPr>
            <w:tcW w:w="1535" w:type="dxa"/>
            <w:tcBorders>
              <w:top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Grade 0</w:t>
            </w:r>
          </w:p>
        </w:tc>
        <w:tc>
          <w:tcPr>
            <w:tcW w:w="1535" w:type="dxa"/>
            <w:tcBorders>
              <w:top w:val="triple" w:sz="4" w:space="0" w:color="auto"/>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C71196">
              <w:rPr>
                <w:rFonts w:ascii="Times New Roman" w:hAnsi="Times New Roman" w:cs="Times New Roman"/>
                <w:sz w:val="24"/>
                <w:szCs w:val="24"/>
              </w:rPr>
              <w:t>0</w:t>
            </w:r>
          </w:p>
        </w:tc>
        <w:tc>
          <w:tcPr>
            <w:tcW w:w="1535" w:type="dxa"/>
            <w:tcBorders>
              <w:top w:val="triple" w:sz="4" w:space="0" w:color="auto"/>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Stage A</w:t>
            </w:r>
          </w:p>
        </w:tc>
        <w:tc>
          <w:tcPr>
            <w:tcW w:w="1535" w:type="dxa"/>
            <w:tcBorders>
              <w:top w:val="triple" w:sz="4" w:space="0" w:color="auto"/>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53.3</w:t>
            </w:r>
          </w:p>
        </w:tc>
        <w:tc>
          <w:tcPr>
            <w:tcW w:w="1536" w:type="dxa"/>
            <w:tcBorders>
              <w:top w:val="triple" w:sz="4" w:space="0" w:color="auto"/>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0</w:t>
            </w:r>
          </w:p>
        </w:tc>
        <w:tc>
          <w:tcPr>
            <w:tcW w:w="1536" w:type="dxa"/>
            <w:tcBorders>
              <w:top w:val="triple" w:sz="4" w:space="0" w:color="auto"/>
              <w:left w:val="sing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6.3</w:t>
            </w:r>
          </w:p>
        </w:tc>
      </w:tr>
      <w:tr w:rsidR="007A1BBF" w:rsidRPr="00C71196" w:rsidTr="008D6D27">
        <w:tc>
          <w:tcPr>
            <w:tcW w:w="1535" w:type="dxa"/>
            <w:tcBorders>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Grade 1</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37.5</w:t>
            </w:r>
          </w:p>
        </w:tc>
        <w:tc>
          <w:tcPr>
            <w:tcW w:w="1535"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Stage B</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17.4</w:t>
            </w:r>
          </w:p>
        </w:tc>
        <w:tc>
          <w:tcPr>
            <w:tcW w:w="1536"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I</w:t>
            </w:r>
          </w:p>
        </w:tc>
        <w:tc>
          <w:tcPr>
            <w:tcW w:w="1536" w:type="dxa"/>
            <w:tcBorders>
              <w:left w:val="sing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18.7</w:t>
            </w:r>
          </w:p>
        </w:tc>
      </w:tr>
      <w:tr w:rsidR="007A1BBF" w:rsidRPr="00C71196" w:rsidTr="008D6D27">
        <w:tc>
          <w:tcPr>
            <w:tcW w:w="1535" w:type="dxa"/>
            <w:tcBorders>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Grade 2</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18.75</w:t>
            </w:r>
          </w:p>
        </w:tc>
        <w:tc>
          <w:tcPr>
            <w:tcW w:w="1535"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Stage C</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13.3</w:t>
            </w:r>
          </w:p>
        </w:tc>
        <w:tc>
          <w:tcPr>
            <w:tcW w:w="1536"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II</w:t>
            </w:r>
          </w:p>
        </w:tc>
        <w:tc>
          <w:tcPr>
            <w:tcW w:w="1536" w:type="dxa"/>
            <w:tcBorders>
              <w:left w:val="sing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43.8</w:t>
            </w:r>
          </w:p>
        </w:tc>
      </w:tr>
      <w:tr w:rsidR="007A1BBF" w:rsidRPr="00C71196" w:rsidTr="008D6D27">
        <w:tc>
          <w:tcPr>
            <w:tcW w:w="1535" w:type="dxa"/>
            <w:tcBorders>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Grade 3</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18.75</w:t>
            </w:r>
          </w:p>
        </w:tc>
        <w:tc>
          <w:tcPr>
            <w:tcW w:w="1535"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Stage D</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16</w:t>
            </w:r>
          </w:p>
        </w:tc>
        <w:tc>
          <w:tcPr>
            <w:tcW w:w="1536"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III</w:t>
            </w:r>
          </w:p>
        </w:tc>
        <w:tc>
          <w:tcPr>
            <w:tcW w:w="1536" w:type="dxa"/>
            <w:tcBorders>
              <w:left w:val="sing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18.7</w:t>
            </w:r>
          </w:p>
        </w:tc>
      </w:tr>
      <w:tr w:rsidR="007A1BBF" w:rsidRPr="00C71196" w:rsidTr="008D6D27">
        <w:tc>
          <w:tcPr>
            <w:tcW w:w="1535" w:type="dxa"/>
            <w:tcBorders>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Grade 4</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15</w:t>
            </w:r>
          </w:p>
        </w:tc>
        <w:tc>
          <w:tcPr>
            <w:tcW w:w="1535"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Stage E</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0</w:t>
            </w:r>
          </w:p>
        </w:tc>
        <w:tc>
          <w:tcPr>
            <w:tcW w:w="1536"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IV</w:t>
            </w:r>
          </w:p>
        </w:tc>
        <w:tc>
          <w:tcPr>
            <w:tcW w:w="1536" w:type="dxa"/>
            <w:tcBorders>
              <w:left w:val="sing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12.5</w:t>
            </w:r>
          </w:p>
        </w:tc>
      </w:tr>
      <w:tr w:rsidR="007A1BBF" w:rsidRPr="00C71196" w:rsidTr="008D6D27">
        <w:tc>
          <w:tcPr>
            <w:tcW w:w="1535" w:type="dxa"/>
            <w:tcBorders>
              <w:bottom w:val="single" w:sz="4" w:space="0" w:color="auto"/>
              <w:right w:val="single" w:sz="4" w:space="0" w:color="auto"/>
            </w:tcBorders>
          </w:tcPr>
          <w:p w:rsidR="007A1BBF" w:rsidRPr="00C71196" w:rsidRDefault="007A1BBF" w:rsidP="008D6D27">
            <w:pPr>
              <w:autoSpaceDE w:val="0"/>
              <w:autoSpaceDN w:val="0"/>
              <w:adjustRightInd w:val="0"/>
              <w:spacing w:line="360" w:lineRule="auto"/>
              <w:rPr>
                <w:rFonts w:ascii="Times New Roman" w:hAnsi="Times New Roman" w:cs="Times New Roman"/>
                <w:sz w:val="24"/>
                <w:szCs w:val="24"/>
              </w:rPr>
            </w:pPr>
            <w:r w:rsidRPr="00C71196">
              <w:rPr>
                <w:rFonts w:ascii="Times New Roman" w:hAnsi="Times New Roman" w:cs="Times New Roman"/>
                <w:sz w:val="24"/>
                <w:szCs w:val="24"/>
              </w:rPr>
              <w:t>Total</w:t>
            </w: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100</w:t>
            </w:r>
          </w:p>
        </w:tc>
        <w:tc>
          <w:tcPr>
            <w:tcW w:w="1535"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jc w:val="right"/>
              <w:rPr>
                <w:rFonts w:ascii="Times New Roman" w:hAnsi="Times New Roman" w:cs="Times New Roman"/>
                <w:sz w:val="24"/>
                <w:szCs w:val="24"/>
              </w:rPr>
            </w:pPr>
          </w:p>
        </w:tc>
        <w:tc>
          <w:tcPr>
            <w:tcW w:w="1535" w:type="dxa"/>
            <w:tcBorders>
              <w:left w:val="single" w:sz="4" w:space="0" w:color="auto"/>
              <w:right w:val="trip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100</w:t>
            </w:r>
          </w:p>
        </w:tc>
        <w:tc>
          <w:tcPr>
            <w:tcW w:w="1536" w:type="dxa"/>
            <w:tcBorders>
              <w:left w:val="triple" w:sz="4" w:space="0" w:color="auto"/>
              <w:right w:val="single" w:sz="4" w:space="0" w:color="auto"/>
            </w:tcBorders>
          </w:tcPr>
          <w:p w:rsidR="007A1BBF" w:rsidRPr="00C71196" w:rsidRDefault="007A1BBF" w:rsidP="008D6D27">
            <w:pPr>
              <w:autoSpaceDE w:val="0"/>
              <w:autoSpaceDN w:val="0"/>
              <w:adjustRightInd w:val="0"/>
              <w:spacing w:line="360" w:lineRule="auto"/>
              <w:jc w:val="right"/>
              <w:rPr>
                <w:rFonts w:ascii="Times New Roman" w:hAnsi="Times New Roman" w:cs="Times New Roman"/>
                <w:sz w:val="24"/>
                <w:szCs w:val="24"/>
              </w:rPr>
            </w:pPr>
          </w:p>
        </w:tc>
        <w:tc>
          <w:tcPr>
            <w:tcW w:w="1536" w:type="dxa"/>
            <w:tcBorders>
              <w:left w:val="single" w:sz="4" w:space="0" w:color="auto"/>
            </w:tcBorders>
          </w:tcPr>
          <w:p w:rsidR="007A1BBF" w:rsidRPr="00C71196" w:rsidRDefault="007A1BBF" w:rsidP="008D6D27">
            <w:pPr>
              <w:autoSpaceDE w:val="0"/>
              <w:autoSpaceDN w:val="0"/>
              <w:adjustRightInd w:val="0"/>
              <w:spacing w:line="360" w:lineRule="auto"/>
              <w:jc w:val="center"/>
              <w:rPr>
                <w:rFonts w:ascii="Times New Roman" w:hAnsi="Times New Roman" w:cs="Times New Roman"/>
                <w:sz w:val="24"/>
                <w:szCs w:val="24"/>
              </w:rPr>
            </w:pPr>
            <w:r w:rsidRPr="00C71196">
              <w:rPr>
                <w:rFonts w:ascii="Times New Roman" w:hAnsi="Times New Roman" w:cs="Times New Roman"/>
                <w:sz w:val="24"/>
                <w:szCs w:val="24"/>
              </w:rPr>
              <w:t>100</w:t>
            </w:r>
          </w:p>
        </w:tc>
      </w:tr>
    </w:tbl>
    <w:p w:rsidR="007A1BBF" w:rsidRPr="00C71196" w:rsidRDefault="007A1BBF" w:rsidP="007A1BBF">
      <w:pPr>
        <w:autoSpaceDE w:val="0"/>
        <w:autoSpaceDN w:val="0"/>
        <w:adjustRightInd w:val="0"/>
        <w:spacing w:line="360" w:lineRule="auto"/>
        <w:ind w:left="708"/>
        <w:jc w:val="center"/>
        <w:rPr>
          <w:rFonts w:ascii="Times New Roman" w:hAnsi="Times New Roman" w:cs="Times New Roman"/>
          <w:sz w:val="24"/>
          <w:szCs w:val="24"/>
        </w:rPr>
      </w:pPr>
    </w:p>
    <w:p w:rsidR="007A1BBF" w:rsidRDefault="007A1BBF" w:rsidP="007A1BBF">
      <w:pPr>
        <w:autoSpaceDE w:val="0"/>
        <w:autoSpaceDN w:val="0"/>
        <w:adjustRightInd w:val="0"/>
        <w:spacing w:line="360" w:lineRule="auto"/>
        <w:ind w:left="708"/>
        <w:jc w:val="center"/>
      </w:pPr>
    </w:p>
    <w:p w:rsidR="007A1BBF" w:rsidRPr="00100E15" w:rsidRDefault="007A1BBF" w:rsidP="007A1BBF">
      <w:pPr>
        <w:autoSpaceDE w:val="0"/>
        <w:autoSpaceDN w:val="0"/>
        <w:adjustRightInd w:val="0"/>
        <w:spacing w:line="360" w:lineRule="auto"/>
        <w:jc w:val="both"/>
        <w:rPr>
          <w:rFonts w:ascii="Times New Roman" w:hAnsi="Times New Roman" w:cs="Times New Roman"/>
        </w:rPr>
      </w:pPr>
    </w:p>
    <w:p w:rsidR="007A1BBF" w:rsidRPr="00E23E63" w:rsidRDefault="007A1BBF" w:rsidP="007A1BBF">
      <w:pPr>
        <w:autoSpaceDE w:val="0"/>
        <w:autoSpaceDN w:val="0"/>
        <w:adjustRightInd w:val="0"/>
        <w:spacing w:line="360" w:lineRule="auto"/>
        <w:ind w:left="708"/>
        <w:jc w:val="center"/>
        <w:rPr>
          <w:rFonts w:ascii="Times New Roman" w:hAnsi="Times New Roman" w:cs="Times New Roman"/>
        </w:rPr>
      </w:pPr>
    </w:p>
    <w:p w:rsidR="007A1BBF" w:rsidRPr="00E23E63" w:rsidRDefault="007A1BBF" w:rsidP="007A1BBF">
      <w:pPr>
        <w:shd w:val="clear" w:color="auto" w:fill="FFFFFF"/>
        <w:spacing w:before="135" w:after="105" w:line="345" w:lineRule="atLeast"/>
        <w:ind w:left="708"/>
        <w:outlineLvl w:val="1"/>
        <w:rPr>
          <w:rFonts w:ascii="Times New Roman" w:eastAsia="Times New Roman" w:hAnsi="Times New Roman" w:cs="Times New Roman"/>
          <w:color w:val="000000"/>
          <w:sz w:val="28"/>
          <w:szCs w:val="28"/>
          <w:lang w:eastAsia="tr-TR"/>
        </w:rPr>
      </w:pPr>
    </w:p>
    <w:p w:rsidR="007A1BBF" w:rsidRPr="00FB6AA8" w:rsidRDefault="007A1BBF" w:rsidP="00E97C10">
      <w:pPr>
        <w:ind w:left="360"/>
        <w:rPr>
          <w:rFonts w:ascii="Times New Roman" w:hAnsi="Times New Roman" w:cs="Times New Roman"/>
          <w:sz w:val="24"/>
          <w:szCs w:val="24"/>
        </w:rPr>
      </w:pPr>
    </w:p>
    <w:sectPr w:rsidR="007A1BBF" w:rsidRPr="00FB6AA8" w:rsidSect="006412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43C8"/>
    <w:multiLevelType w:val="hybridMultilevel"/>
    <w:tmpl w:val="F0884F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EC432F"/>
    <w:multiLevelType w:val="hybridMultilevel"/>
    <w:tmpl w:val="2EDAF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characterSpacingControl w:val="doNotCompress"/>
  <w:compat/>
  <w:rsids>
    <w:rsidRoot w:val="006E2EA9"/>
    <w:rsid w:val="0003613C"/>
    <w:rsid w:val="00070AFD"/>
    <w:rsid w:val="002368E6"/>
    <w:rsid w:val="003C4E60"/>
    <w:rsid w:val="003F27C6"/>
    <w:rsid w:val="0041361C"/>
    <w:rsid w:val="006412F6"/>
    <w:rsid w:val="006E2EA9"/>
    <w:rsid w:val="007A1BBF"/>
    <w:rsid w:val="009E7098"/>
    <w:rsid w:val="00E97C10"/>
    <w:rsid w:val="00ED239A"/>
    <w:rsid w:val="00FB6A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A9"/>
  </w:style>
  <w:style w:type="paragraph" w:styleId="Balk6">
    <w:name w:val="heading 6"/>
    <w:basedOn w:val="Normal"/>
    <w:next w:val="Normal"/>
    <w:link w:val="Balk6Char"/>
    <w:qFormat/>
    <w:rsid w:val="007A1BBF"/>
    <w:pPr>
      <w:spacing w:before="240" w:after="60" w:line="240" w:lineRule="auto"/>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7C10"/>
    <w:pPr>
      <w:ind w:left="720"/>
      <w:contextualSpacing/>
    </w:pPr>
  </w:style>
  <w:style w:type="character" w:customStyle="1" w:styleId="Balk6Char">
    <w:name w:val="Başlık 6 Char"/>
    <w:basedOn w:val="VarsaylanParagrafYazTipi"/>
    <w:link w:val="Balk6"/>
    <w:rsid w:val="007A1BBF"/>
    <w:rPr>
      <w:rFonts w:ascii="Calibri" w:eastAsia="Times New Roman" w:hAnsi="Calibri" w:cs="Times New Roman"/>
      <w:b/>
      <w:bCs/>
    </w:rPr>
  </w:style>
  <w:style w:type="character" w:customStyle="1" w:styleId="apple-converted-space">
    <w:name w:val="apple-converted-space"/>
    <w:basedOn w:val="VarsaylanParagrafYazTipi"/>
    <w:rsid w:val="007A1BBF"/>
  </w:style>
  <w:style w:type="table" w:styleId="TabloKlavuzu">
    <w:name w:val="Table Grid"/>
    <w:basedOn w:val="NormalTablo"/>
    <w:uiPriority w:val="59"/>
    <w:rsid w:val="007A1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7A1BBF"/>
    <w:rPr>
      <w:i/>
      <w:iCs/>
    </w:rPr>
  </w:style>
  <w:style w:type="paragraph" w:styleId="BalonMetni">
    <w:name w:val="Balloon Text"/>
    <w:basedOn w:val="Normal"/>
    <w:link w:val="BalonMetniChar"/>
    <w:uiPriority w:val="99"/>
    <w:semiHidden/>
    <w:unhideWhenUsed/>
    <w:rsid w:val="000361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613C"/>
    <w:rPr>
      <w:rFonts w:ascii="Tahoma" w:hAnsi="Tahoma" w:cs="Tahoma"/>
      <w:sz w:val="16"/>
      <w:szCs w:val="16"/>
    </w:rPr>
  </w:style>
  <w:style w:type="paragraph" w:styleId="NormalWeb">
    <w:name w:val="Normal (Web)"/>
    <w:basedOn w:val="Normal"/>
    <w:uiPriority w:val="99"/>
    <w:unhideWhenUsed/>
    <w:rsid w:val="000361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613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10"/>
    <w:pPr>
      <w:ind w:left="720"/>
      <w:contextualSpacing/>
    </w:pPr>
  </w:style>
</w:styles>
</file>

<file path=word/webSettings.xml><?xml version="1.0" encoding="utf-8"?>
<w:webSettings xmlns:r="http://schemas.openxmlformats.org/officeDocument/2006/relationships" xmlns:w="http://schemas.openxmlformats.org/wordprocessingml/2006/main">
  <w:divs>
    <w:div w:id="574125684">
      <w:bodyDiv w:val="1"/>
      <w:marLeft w:val="0"/>
      <w:marRight w:val="0"/>
      <w:marTop w:val="0"/>
      <w:marBottom w:val="0"/>
      <w:divBdr>
        <w:top w:val="none" w:sz="0" w:space="0" w:color="auto"/>
        <w:left w:val="none" w:sz="0" w:space="0" w:color="auto"/>
        <w:bottom w:val="none" w:sz="0" w:space="0" w:color="auto"/>
        <w:right w:val="none" w:sz="0" w:space="0" w:color="auto"/>
      </w:divBdr>
    </w:div>
    <w:div w:id="969675259">
      <w:bodyDiv w:val="1"/>
      <w:marLeft w:val="0"/>
      <w:marRight w:val="0"/>
      <w:marTop w:val="0"/>
      <w:marBottom w:val="0"/>
      <w:divBdr>
        <w:top w:val="none" w:sz="0" w:space="0" w:color="auto"/>
        <w:left w:val="none" w:sz="0" w:space="0" w:color="auto"/>
        <w:bottom w:val="none" w:sz="0" w:space="0" w:color="auto"/>
        <w:right w:val="none" w:sz="0" w:space="0" w:color="auto"/>
      </w:divBdr>
      <w:divsChild>
        <w:div w:id="108166775">
          <w:marLeft w:val="0"/>
          <w:marRight w:val="204"/>
          <w:marTop w:val="68"/>
          <w:marBottom w:val="0"/>
          <w:divBdr>
            <w:top w:val="none" w:sz="0" w:space="0" w:color="auto"/>
            <w:left w:val="none" w:sz="0" w:space="0" w:color="auto"/>
            <w:bottom w:val="none" w:sz="0" w:space="0" w:color="auto"/>
            <w:right w:val="none" w:sz="0" w:space="0" w:color="auto"/>
          </w:divBdr>
          <w:divsChild>
            <w:div w:id="1702589952">
              <w:marLeft w:val="0"/>
              <w:marRight w:val="0"/>
              <w:marTop w:val="0"/>
              <w:marBottom w:val="0"/>
              <w:divBdr>
                <w:top w:val="none" w:sz="0" w:space="0" w:color="auto"/>
                <w:left w:val="none" w:sz="0" w:space="0" w:color="auto"/>
                <w:bottom w:val="none" w:sz="0" w:space="0" w:color="auto"/>
                <w:right w:val="none" w:sz="0" w:space="0" w:color="auto"/>
              </w:divBdr>
              <w:divsChild>
                <w:div w:id="1598512954">
                  <w:marLeft w:val="0"/>
                  <w:marRight w:val="0"/>
                  <w:marTop w:val="0"/>
                  <w:marBottom w:val="0"/>
                  <w:divBdr>
                    <w:top w:val="none" w:sz="0" w:space="0" w:color="auto"/>
                    <w:left w:val="none" w:sz="0" w:space="0" w:color="auto"/>
                    <w:bottom w:val="none" w:sz="0" w:space="0" w:color="auto"/>
                    <w:right w:val="none" w:sz="0" w:space="0" w:color="auto"/>
                  </w:divBdr>
                  <w:divsChild>
                    <w:div w:id="343825600">
                      <w:marLeft w:val="0"/>
                      <w:marRight w:val="0"/>
                      <w:marTop w:val="0"/>
                      <w:marBottom w:val="0"/>
                      <w:divBdr>
                        <w:top w:val="none" w:sz="0" w:space="0" w:color="auto"/>
                        <w:left w:val="none" w:sz="0" w:space="0" w:color="auto"/>
                        <w:bottom w:val="none" w:sz="0" w:space="0" w:color="auto"/>
                        <w:right w:val="none" w:sz="0" w:space="0" w:color="auto"/>
                      </w:divBdr>
                      <w:divsChild>
                        <w:div w:id="1523934142">
                          <w:marLeft w:val="0"/>
                          <w:marRight w:val="0"/>
                          <w:marTop w:val="0"/>
                          <w:marBottom w:val="0"/>
                          <w:divBdr>
                            <w:top w:val="none" w:sz="0" w:space="0" w:color="auto"/>
                            <w:left w:val="none" w:sz="0" w:space="0" w:color="auto"/>
                            <w:bottom w:val="none" w:sz="0" w:space="0" w:color="auto"/>
                            <w:right w:val="none" w:sz="0" w:space="0" w:color="auto"/>
                          </w:divBdr>
                          <w:divsChild>
                            <w:div w:id="11807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ditor@turkishneurosurgery.org.t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editor@turkishneurosurgery.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kishneurosurgery.org.tr/subm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urkishneurosurgery.org.tr/summary_en_doi.php3?doi=10.5137/1019-5149.JTN.10495-14.2"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arf</dc:creator>
  <cp:lastModifiedBy>aeyildirim</cp:lastModifiedBy>
  <cp:revision>4</cp:revision>
  <dcterms:created xsi:type="dcterms:W3CDTF">2015-04-06T12:29:00Z</dcterms:created>
  <dcterms:modified xsi:type="dcterms:W3CDTF">2015-04-06T17:29:00Z</dcterms:modified>
</cp:coreProperties>
</file>